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392" w:rsidRDefault="00523CCD">
      <w:pPr>
        <w:pBdr>
          <w:top w:val="nil"/>
          <w:left w:val="nil"/>
          <w:bottom w:val="nil"/>
          <w:right w:val="nil"/>
          <w:between w:val="nil"/>
        </w:pBdr>
        <w:spacing w:after="0" w:line="240" w:lineRule="auto"/>
        <w:jc w:val="both"/>
        <w:rPr>
          <w:rFonts w:ascii="Arial" w:eastAsia="Arial" w:hAnsi="Arial" w:cs="Arial"/>
          <w:b/>
          <w:sz w:val="24"/>
          <w:szCs w:val="24"/>
        </w:rPr>
      </w:pPr>
      <w:bookmarkStart w:id="0" w:name="_heading=h.71z966fbqvom" w:colFirst="0" w:colLast="0"/>
      <w:bookmarkStart w:id="1" w:name="_GoBack"/>
      <w:bookmarkEnd w:id="0"/>
      <w:bookmarkEnd w:id="1"/>
      <w:r>
        <w:rPr>
          <w:rFonts w:ascii="Arial" w:eastAsia="Arial" w:hAnsi="Arial" w:cs="Arial"/>
          <w:b/>
          <w:color w:val="000000"/>
          <w:sz w:val="24"/>
          <w:szCs w:val="24"/>
        </w:rPr>
        <w:t xml:space="preserve">Título del Proyecto: </w:t>
      </w:r>
      <w:r>
        <w:rPr>
          <w:rFonts w:ascii="Arial" w:eastAsia="Arial" w:hAnsi="Arial" w:cs="Arial"/>
          <w:b/>
          <w:sz w:val="24"/>
          <w:szCs w:val="24"/>
        </w:rPr>
        <w:t>Representaciones sobre iglesia y religiosidad en Argentina. Desde la colonia a la actualidad.</w:t>
      </w:r>
    </w:p>
    <w:p w:rsidR="00310392" w:rsidRDefault="00310392">
      <w:pPr>
        <w:pBdr>
          <w:top w:val="nil"/>
          <w:left w:val="nil"/>
          <w:bottom w:val="nil"/>
          <w:right w:val="nil"/>
          <w:between w:val="nil"/>
        </w:pBdr>
        <w:spacing w:after="0" w:line="240" w:lineRule="auto"/>
        <w:jc w:val="both"/>
        <w:rPr>
          <w:rFonts w:ascii="Arial" w:eastAsia="Arial" w:hAnsi="Arial" w:cs="Arial"/>
          <w:b/>
          <w:sz w:val="24"/>
          <w:szCs w:val="24"/>
        </w:rPr>
      </w:pPr>
      <w:bookmarkStart w:id="2" w:name="_heading=h.efsen532hqhw" w:colFirst="0" w:colLast="0"/>
      <w:bookmarkEnd w:id="2"/>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Directora: Dra. Sara G. Amenta</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Co-Directora: Dra. Cynthia Folquer.</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Disciplina: Historia</w:t>
      </w: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ENCUADRE DENTRO DE LAS LÍNEAS PRIORITARIAS DE INVESTIGACIÓN:</w:t>
      </w:r>
    </w:p>
    <w:p w:rsidR="00310392" w:rsidRDefault="00310392">
      <w:pPr>
        <w:pBdr>
          <w:top w:val="nil"/>
          <w:left w:val="nil"/>
          <w:bottom w:val="nil"/>
          <w:right w:val="nil"/>
          <w:between w:val="nil"/>
        </w:pBdr>
        <w:spacing w:after="0" w:line="240" w:lineRule="auto"/>
        <w:jc w:val="both"/>
        <w:rPr>
          <w:rFonts w:ascii="Arial" w:eastAsia="Arial" w:hAnsi="Arial" w:cs="Arial"/>
          <w:color w:val="FF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La investigación en historia religiosa es una oportunidad para abordar el devenir de la Iglesia y la Orden Dominicana en los diferentes contextos epocales. Por tratarse la UNSTA de una instituci</w:t>
      </w:r>
      <w:r>
        <w:rPr>
          <w:rFonts w:ascii="Arial" w:eastAsia="Arial" w:hAnsi="Arial" w:cs="Arial"/>
          <w:sz w:val="24"/>
          <w:szCs w:val="24"/>
        </w:rPr>
        <w:t xml:space="preserve">ón católica y dominicana, desarrollar este proyecto de investigación constituirá un aporte específico, que permitirá difundir una mejor comprensión del rol desempeñado por estas instituciones y sus miembros en Argentina, desde el período colonial hasta la </w:t>
      </w:r>
      <w:r>
        <w:rPr>
          <w:rFonts w:ascii="Arial" w:eastAsia="Arial" w:hAnsi="Arial" w:cs="Arial"/>
          <w:sz w:val="24"/>
          <w:szCs w:val="24"/>
        </w:rPr>
        <w:t>actualidad.</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Entre </w:t>
      </w:r>
      <w:proofErr w:type="gramStart"/>
      <w:r>
        <w:rPr>
          <w:rFonts w:ascii="Arial" w:eastAsia="Arial" w:hAnsi="Arial" w:cs="Arial"/>
          <w:sz w:val="24"/>
          <w:szCs w:val="24"/>
        </w:rPr>
        <w:t>la líneas prioritarias de investigación determinadas</w:t>
      </w:r>
      <w:proofErr w:type="gramEnd"/>
      <w:r>
        <w:rPr>
          <w:rFonts w:ascii="Arial" w:eastAsia="Arial" w:hAnsi="Arial" w:cs="Arial"/>
          <w:sz w:val="24"/>
          <w:szCs w:val="24"/>
        </w:rPr>
        <w:t xml:space="preserve"> por la UNSTA, el diálogo entre fe y razón ocupa un lugar fundamental. Este proyecto de investigación plantea de manera inter y transdisciplinar, dimensiones del conocimiento teológico y</w:t>
      </w:r>
      <w:r>
        <w:rPr>
          <w:rFonts w:ascii="Arial" w:eastAsia="Arial" w:hAnsi="Arial" w:cs="Arial"/>
          <w:sz w:val="24"/>
          <w:szCs w:val="24"/>
        </w:rPr>
        <w:t xml:space="preserve"> de las ciencias sociales, buscando una mejor comprensión de la historia de la Iglesia y de la Orden de Predicadores como de los rasgos fundamentales de la tradición espiritual cristiana y dominicana.</w:t>
      </w:r>
    </w:p>
    <w:p w:rsidR="00310392" w:rsidRDefault="00310392">
      <w:pPr>
        <w:pBdr>
          <w:top w:val="nil"/>
          <w:left w:val="nil"/>
          <w:bottom w:val="nil"/>
          <w:right w:val="nil"/>
          <w:between w:val="nil"/>
        </w:pBdr>
        <w:spacing w:after="0" w:line="240" w:lineRule="auto"/>
        <w:jc w:val="both"/>
        <w:rPr>
          <w:rFonts w:ascii="Arial" w:eastAsia="Arial" w:hAnsi="Arial" w:cs="Arial"/>
          <w:sz w:val="24"/>
          <w:szCs w:val="24"/>
        </w:rPr>
      </w:pP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RELEVANCIA DEL PROBLEMA </w:t>
      </w:r>
    </w:p>
    <w:p w:rsidR="00310392" w:rsidRDefault="00310392">
      <w:pPr>
        <w:pBdr>
          <w:top w:val="nil"/>
          <w:left w:val="nil"/>
          <w:bottom w:val="nil"/>
          <w:right w:val="nil"/>
          <w:between w:val="nil"/>
        </w:pBdr>
        <w:spacing w:after="0" w:line="240" w:lineRule="auto"/>
        <w:jc w:val="both"/>
        <w:rPr>
          <w:rFonts w:ascii="Arial" w:eastAsia="Arial" w:hAnsi="Arial" w:cs="Arial"/>
          <w:b/>
          <w:color w:val="000000"/>
          <w:sz w:val="24"/>
          <w:szCs w:val="24"/>
        </w:rPr>
      </w:pP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De manera individual o grupal se crean constantemente representaciones que construyen formas de conocimiento, a la vez que se crean significados e imágenes con los cuales buscamos comprender el mundo, nos comunicamos y actuamos en la sociedad. Siguiendo a</w:t>
      </w:r>
      <w:r>
        <w:rPr>
          <w:rFonts w:ascii="Arial" w:eastAsia="Arial" w:hAnsi="Arial" w:cs="Arial"/>
          <w:sz w:val="24"/>
          <w:szCs w:val="24"/>
        </w:rPr>
        <w:t xml:space="preserve"> Roger Chartier en su libro  </w:t>
      </w:r>
      <w:r>
        <w:rPr>
          <w:rFonts w:ascii="Arial" w:eastAsia="Arial" w:hAnsi="Arial" w:cs="Arial"/>
          <w:i/>
          <w:sz w:val="24"/>
          <w:szCs w:val="24"/>
        </w:rPr>
        <w:t>El mundo como representación</w:t>
      </w:r>
      <w:r>
        <w:rPr>
          <w:rFonts w:ascii="Arial" w:eastAsia="Arial" w:hAnsi="Arial" w:cs="Arial"/>
          <w:sz w:val="24"/>
          <w:szCs w:val="24"/>
        </w:rPr>
        <w:t>, afirmamos que las representaciones sociales permiten a los individuos construir una comprehensión de lo social, “una interpretación de su relación con el mundo y lo sagrado”.La investigación de la</w:t>
      </w:r>
      <w:r>
        <w:rPr>
          <w:rFonts w:ascii="Arial" w:eastAsia="Arial" w:hAnsi="Arial" w:cs="Arial"/>
          <w:sz w:val="24"/>
          <w:szCs w:val="24"/>
        </w:rPr>
        <w:t>s representaciones sociales ha probado ser fecunda para investigar aquellos fenómenos que ocurren en la interfaz entre la persona y la sociedad. La noción de representación social tiene una naturaleza abierta que propicia la integración de las experien</w:t>
      </w:r>
      <w:r>
        <w:rPr>
          <w:rFonts w:ascii="Arial" w:eastAsia="Arial" w:hAnsi="Arial" w:cs="Arial"/>
          <w:sz w:val="24"/>
          <w:szCs w:val="24"/>
        </w:rPr>
        <w:t>cias subjetivas individuales y de los sistemas de interacción social. Esto es posible ya que uno de los aportes significativos de la nueva historia cultural, que pone el foco en las representaciones sociales, es la de considerar al individuo, “en su inscr</w:t>
      </w:r>
      <w:r>
        <w:rPr>
          <w:rFonts w:ascii="Arial" w:eastAsia="Arial" w:hAnsi="Arial" w:cs="Arial"/>
          <w:sz w:val="24"/>
          <w:szCs w:val="24"/>
        </w:rPr>
        <w:t xml:space="preserve">ipción en el seno de dependencias recíprocas que constituyen las configuraciones sociales a las que él pertenece” (Chartier) </w:t>
      </w:r>
      <w:r>
        <w:rPr>
          <w:rFonts w:ascii="Arial" w:eastAsia="Arial" w:hAnsi="Arial" w:cs="Arial"/>
          <w:sz w:val="24"/>
          <w:szCs w:val="24"/>
        </w:rPr>
        <w:tab/>
      </w: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Por ello indagar en las representaciones sociales sobre iglesia y religiosidad, habilita para interpretar el contexto, los esquem</w:t>
      </w:r>
      <w:r>
        <w:rPr>
          <w:rFonts w:ascii="Arial" w:eastAsia="Arial" w:hAnsi="Arial" w:cs="Arial"/>
          <w:sz w:val="24"/>
          <w:szCs w:val="24"/>
        </w:rPr>
        <w:t xml:space="preserve">as comunicacionales y cognitivos proporcionados por la cultura, así como los patrones de valores de los diferentes </w:t>
      </w:r>
      <w:r>
        <w:rPr>
          <w:rFonts w:ascii="Arial" w:eastAsia="Arial" w:hAnsi="Arial" w:cs="Arial"/>
          <w:sz w:val="24"/>
          <w:szCs w:val="24"/>
        </w:rPr>
        <w:lastRenderedPageBreak/>
        <w:t>actores sociales que formaron parte de estas instituciones o las observaron críticamente.</w:t>
      </w: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En un contexto de diversificación del campo religio</w:t>
      </w:r>
      <w:r>
        <w:rPr>
          <w:rFonts w:ascii="Arial" w:eastAsia="Arial" w:hAnsi="Arial" w:cs="Arial"/>
          <w:sz w:val="24"/>
          <w:szCs w:val="24"/>
        </w:rPr>
        <w:t>so como el actual, el estudio de las representaciones sobre la Iglesia, la Orden Dominicana, las prácticas y creencias religiosas, brinda la oportunidad de ahondar en el campo de la experiencia religiosa que transita profundas transformaciones y un intenso</w:t>
      </w:r>
      <w:r>
        <w:rPr>
          <w:rFonts w:ascii="Arial" w:eastAsia="Arial" w:hAnsi="Arial" w:cs="Arial"/>
          <w:sz w:val="24"/>
          <w:szCs w:val="24"/>
        </w:rPr>
        <w:t xml:space="preserve"> proceso de reacomodación en el escenario socio cultural hoy como ayer.</w:t>
      </w:r>
    </w:p>
    <w:p w:rsidR="00310392" w:rsidRDefault="00523CCD">
      <w:pPr>
        <w:spacing w:before="240" w:after="240" w:line="240" w:lineRule="auto"/>
        <w:jc w:val="both"/>
        <w:rPr>
          <w:rFonts w:ascii="Arial" w:eastAsia="Arial" w:hAnsi="Arial" w:cs="Arial"/>
          <w:sz w:val="24"/>
          <w:szCs w:val="24"/>
          <w:highlight w:val="white"/>
        </w:rPr>
      </w:pPr>
      <w:r>
        <w:rPr>
          <w:rFonts w:ascii="Arial" w:eastAsia="Arial" w:hAnsi="Arial" w:cs="Arial"/>
          <w:sz w:val="24"/>
          <w:szCs w:val="24"/>
        </w:rPr>
        <w:t xml:space="preserve">Gadamer, en </w:t>
      </w:r>
      <w:r>
        <w:rPr>
          <w:rFonts w:ascii="Arial" w:eastAsia="Arial" w:hAnsi="Arial" w:cs="Arial"/>
          <w:i/>
          <w:sz w:val="24"/>
          <w:szCs w:val="24"/>
        </w:rPr>
        <w:t>Verdad y Método</w:t>
      </w:r>
      <w:r>
        <w:rPr>
          <w:rFonts w:ascii="Arial" w:eastAsia="Arial" w:hAnsi="Arial" w:cs="Arial"/>
          <w:sz w:val="24"/>
          <w:szCs w:val="24"/>
        </w:rPr>
        <w:t>, al abordar la idea de tradición, plantea la importancia de la transmisión y la necesaria recepción y apropiación por parte de los sujetos. Cada contexto ep</w:t>
      </w:r>
      <w:r>
        <w:rPr>
          <w:rFonts w:ascii="Arial" w:eastAsia="Arial" w:hAnsi="Arial" w:cs="Arial"/>
          <w:sz w:val="24"/>
          <w:szCs w:val="24"/>
        </w:rPr>
        <w:t>ocal impregna un modo de</w:t>
      </w:r>
      <w:r>
        <w:rPr>
          <w:rFonts w:ascii="Arial" w:eastAsia="Arial" w:hAnsi="Arial" w:cs="Arial"/>
          <w:sz w:val="24"/>
          <w:szCs w:val="24"/>
          <w:highlight w:val="white"/>
        </w:rPr>
        <w:t xml:space="preserve"> representar la realidad. Desde esta perspectiva, investigar las representaciones sobre iglesia y experiencia religiosa, implica interpretar la tradición, su invención, recepción y transformaciones. Toda interpretación es una repres</w:t>
      </w:r>
      <w:r>
        <w:rPr>
          <w:rFonts w:ascii="Arial" w:eastAsia="Arial" w:hAnsi="Arial" w:cs="Arial"/>
          <w:sz w:val="24"/>
          <w:szCs w:val="24"/>
          <w:highlight w:val="white"/>
        </w:rPr>
        <w:t>entación, cada nueva representación conserva algo pero coloca elementos nuevos. En el mismo sentido, Chartier plantea que las representaciones no deben comprenderse meramente como “reflejos” de la realidad sino que son parte constitutiva de la misma. Plant</w:t>
      </w:r>
      <w:r>
        <w:rPr>
          <w:rFonts w:ascii="Arial" w:eastAsia="Arial" w:hAnsi="Arial" w:cs="Arial"/>
          <w:sz w:val="24"/>
          <w:szCs w:val="24"/>
          <w:highlight w:val="white"/>
        </w:rPr>
        <w:t>ea este autor que los esquemas que generan las representaciones “deben ser considerados al mismo tiempo como productores de lo social”. Los conceptos no pueden ser ya considerados como la expresión transparente de una realidad exterior o de un sentido dado</w:t>
      </w:r>
      <w:r>
        <w:rPr>
          <w:rFonts w:ascii="Arial" w:eastAsia="Arial" w:hAnsi="Arial" w:cs="Arial"/>
          <w:sz w:val="24"/>
          <w:szCs w:val="24"/>
          <w:highlight w:val="white"/>
        </w:rPr>
        <w:t xml:space="preserve"> previamente. La tarea del historiador radica entonces, en parte, en incorporar el análisis y la interpretación de los significados subjetivos, asignados por los sujetos históricos a los conceptos utilizados por ellos para comprender y describir su realida</w:t>
      </w:r>
      <w:r>
        <w:rPr>
          <w:rFonts w:ascii="Arial" w:eastAsia="Arial" w:hAnsi="Arial" w:cs="Arial"/>
          <w:sz w:val="24"/>
          <w:szCs w:val="24"/>
          <w:highlight w:val="white"/>
        </w:rPr>
        <w:t xml:space="preserve">d. </w:t>
      </w: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En el análisis de las representaciones sociales, los itinerarios de vida y la percepción que los sujetos fueron elaborando, nos impulsa a la elaboración de biografías como un camino metodológico ineludible para visibilizar las representaciones de la ex</w:t>
      </w:r>
      <w:r>
        <w:rPr>
          <w:rFonts w:ascii="Arial" w:eastAsia="Arial" w:hAnsi="Arial" w:cs="Arial"/>
          <w:sz w:val="24"/>
          <w:szCs w:val="24"/>
        </w:rPr>
        <w:t xml:space="preserve">periencia religiosa de una época, concentradas en la singularidad de una vida. La recuperación de los itinerarios de vida de algunos protagonistas, permitirá visibilizar el mundo de las representaciones, en la interfaz de lo individual y colectivo. </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Por otra parte la reconstrucción de la vida cotidiana en el convento de los dominicos  de Tucumán, permitirá un abordaje a las prácticas religiosas, el sistema de creencias, las costumbres que reflejan la cosmovisión en la que vivieron inmersos los frailes</w:t>
      </w:r>
      <w:r>
        <w:rPr>
          <w:rFonts w:ascii="Arial" w:eastAsia="Arial" w:hAnsi="Arial" w:cs="Arial"/>
          <w:sz w:val="24"/>
          <w:szCs w:val="24"/>
        </w:rPr>
        <w:t xml:space="preserve"> en la bisagra </w:t>
      </w:r>
      <w:proofErr w:type="gramStart"/>
      <w:r>
        <w:rPr>
          <w:rFonts w:ascii="Arial" w:eastAsia="Arial" w:hAnsi="Arial" w:cs="Arial"/>
          <w:sz w:val="24"/>
          <w:szCs w:val="24"/>
        </w:rPr>
        <w:t>de los siglo</w:t>
      </w:r>
      <w:proofErr w:type="gramEnd"/>
      <w:r>
        <w:rPr>
          <w:rFonts w:ascii="Arial" w:eastAsia="Arial" w:hAnsi="Arial" w:cs="Arial"/>
          <w:sz w:val="24"/>
          <w:szCs w:val="24"/>
        </w:rPr>
        <w:t xml:space="preserve"> XIX y XX. En cuanto al campo específico del arte, la interpretación se convierte en representación, que posibilita no sólo la determinación del objeto, sino sobre todo el significado de esa historia en un contexto concreto, y no</w:t>
      </w:r>
      <w:r>
        <w:rPr>
          <w:rFonts w:ascii="Arial" w:eastAsia="Arial" w:hAnsi="Arial" w:cs="Arial"/>
          <w:sz w:val="24"/>
          <w:szCs w:val="24"/>
        </w:rPr>
        <w:t xml:space="preserve"> hay límite de significaciones que pueden leerse en la obra. Toda interpretación iconológica depende por un lado de nuestra idea previa respecto a lo que estamos buscando, o en otras palabras, de nuestra opinión sobre lo que es o no estimable en el seno de</w:t>
      </w:r>
      <w:r>
        <w:rPr>
          <w:rFonts w:ascii="Arial" w:eastAsia="Arial" w:hAnsi="Arial" w:cs="Arial"/>
          <w:sz w:val="24"/>
          <w:szCs w:val="24"/>
        </w:rPr>
        <w:t xml:space="preserve"> una época o un ambiente dados (lo que se puede definir como proyección de significado concreta); y por otra, de lo que está en la voluntad del artista, a lo que sólo podemos acercarnos a través de hipótesis más o menos confiables.</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lastRenderedPageBreak/>
        <w:t>El desarrollo de e</w:t>
      </w:r>
      <w:r>
        <w:rPr>
          <w:rFonts w:ascii="Arial" w:eastAsia="Arial" w:hAnsi="Arial" w:cs="Arial"/>
          <w:sz w:val="24"/>
          <w:szCs w:val="24"/>
        </w:rPr>
        <w:t>ste pr</w:t>
      </w:r>
      <w:r>
        <w:rPr>
          <w:rFonts w:ascii="Arial" w:eastAsia="Arial" w:hAnsi="Arial" w:cs="Arial"/>
          <w:sz w:val="24"/>
          <w:szCs w:val="24"/>
        </w:rPr>
        <w:t>oyecto permitir</w:t>
      </w:r>
      <w:r>
        <w:rPr>
          <w:rFonts w:ascii="Arial" w:eastAsia="Arial" w:hAnsi="Arial" w:cs="Arial"/>
          <w:sz w:val="24"/>
          <w:szCs w:val="24"/>
        </w:rPr>
        <w:t>á</w:t>
      </w:r>
      <w:r>
        <w:rPr>
          <w:rFonts w:ascii="Arial" w:eastAsia="Arial" w:hAnsi="Arial" w:cs="Arial"/>
          <w:sz w:val="24"/>
          <w:szCs w:val="24"/>
        </w:rPr>
        <w:t xml:space="preserve"> junto a</w:t>
      </w:r>
      <w:r>
        <w:rPr>
          <w:rFonts w:ascii="Arial" w:eastAsia="Arial" w:hAnsi="Arial" w:cs="Arial"/>
          <w:sz w:val="24"/>
          <w:szCs w:val="24"/>
        </w:rPr>
        <w:t xml:space="preserve"> los avances del conocimiento fortalecer los vínculos </w:t>
      </w:r>
      <w:r>
        <w:rPr>
          <w:rFonts w:ascii="Arial" w:eastAsia="Arial" w:hAnsi="Arial" w:cs="Arial"/>
          <w:sz w:val="24"/>
          <w:szCs w:val="24"/>
        </w:rPr>
        <w:t>de investigadores en historia religiosa</w:t>
      </w:r>
      <w:r>
        <w:rPr>
          <w:rFonts w:ascii="Arial" w:eastAsia="Arial" w:hAnsi="Arial" w:cs="Arial"/>
          <w:sz w:val="24"/>
          <w:szCs w:val="24"/>
        </w:rPr>
        <w:t xml:space="preserve"> y de la </w:t>
      </w:r>
      <w:r>
        <w:rPr>
          <w:rFonts w:ascii="Arial" w:eastAsia="Arial" w:hAnsi="Arial" w:cs="Arial"/>
          <w:sz w:val="24"/>
          <w:szCs w:val="24"/>
        </w:rPr>
        <w:t>Orden Dominicana en la regi</w:t>
      </w:r>
      <w:r>
        <w:rPr>
          <w:rFonts w:ascii="Arial" w:eastAsia="Arial" w:hAnsi="Arial" w:cs="Arial"/>
          <w:sz w:val="24"/>
          <w:szCs w:val="24"/>
        </w:rPr>
        <w:t xml:space="preserve">ón del NOA, con el resto de </w:t>
      </w:r>
      <w:r>
        <w:rPr>
          <w:rFonts w:ascii="Arial" w:eastAsia="Arial" w:hAnsi="Arial" w:cs="Arial"/>
          <w:sz w:val="24"/>
          <w:szCs w:val="24"/>
        </w:rPr>
        <w:t>Argentina</w:t>
      </w:r>
      <w:r>
        <w:rPr>
          <w:rFonts w:ascii="Arial" w:eastAsia="Arial" w:hAnsi="Arial" w:cs="Arial"/>
          <w:sz w:val="24"/>
          <w:szCs w:val="24"/>
        </w:rPr>
        <w:t xml:space="preserve"> y de América. </w:t>
      </w:r>
      <w:r>
        <w:rPr>
          <w:rFonts w:ascii="Arial" w:eastAsia="Arial" w:hAnsi="Arial" w:cs="Arial"/>
          <w:sz w:val="24"/>
          <w:szCs w:val="24"/>
        </w:rPr>
        <w:t xml:space="preserve">Se </w:t>
      </w:r>
      <w:r>
        <w:rPr>
          <w:rFonts w:ascii="Arial" w:eastAsia="Arial" w:hAnsi="Arial" w:cs="Arial"/>
          <w:sz w:val="24"/>
          <w:szCs w:val="24"/>
        </w:rPr>
        <w:t>prevé</w:t>
      </w:r>
      <w:r>
        <w:rPr>
          <w:rFonts w:ascii="Arial" w:eastAsia="Arial" w:hAnsi="Arial" w:cs="Arial"/>
          <w:sz w:val="24"/>
          <w:szCs w:val="24"/>
        </w:rPr>
        <w:t xml:space="preserve"> la realiza</w:t>
      </w:r>
      <w:r>
        <w:rPr>
          <w:rFonts w:ascii="Arial" w:eastAsia="Arial" w:hAnsi="Arial" w:cs="Arial"/>
          <w:sz w:val="24"/>
          <w:szCs w:val="24"/>
        </w:rPr>
        <w:t xml:space="preserve">ción de </w:t>
      </w:r>
      <w:r>
        <w:rPr>
          <w:rFonts w:ascii="Arial" w:eastAsia="Arial" w:hAnsi="Arial" w:cs="Arial"/>
          <w:sz w:val="24"/>
          <w:szCs w:val="24"/>
        </w:rPr>
        <w:t xml:space="preserve"> </w:t>
      </w:r>
      <w:r>
        <w:rPr>
          <w:rFonts w:ascii="Arial" w:eastAsia="Arial" w:hAnsi="Arial" w:cs="Arial"/>
          <w:sz w:val="24"/>
          <w:szCs w:val="24"/>
        </w:rPr>
        <w:t>simposios</w:t>
      </w:r>
      <w:r>
        <w:rPr>
          <w:rFonts w:ascii="Arial" w:eastAsia="Arial" w:hAnsi="Arial" w:cs="Arial"/>
          <w:sz w:val="24"/>
          <w:szCs w:val="24"/>
        </w:rPr>
        <w:t>, jornadas y c</w:t>
      </w:r>
      <w:r>
        <w:rPr>
          <w:rFonts w:ascii="Arial" w:eastAsia="Arial" w:hAnsi="Arial" w:cs="Arial"/>
          <w:sz w:val="24"/>
          <w:szCs w:val="24"/>
        </w:rPr>
        <w:t>ongresos para debatir los avances de investigaci</w:t>
      </w:r>
      <w:r>
        <w:rPr>
          <w:rFonts w:ascii="Arial" w:eastAsia="Arial" w:hAnsi="Arial" w:cs="Arial"/>
          <w:sz w:val="24"/>
          <w:szCs w:val="24"/>
        </w:rPr>
        <w:t>ón promoviendo una</w:t>
      </w:r>
      <w:r>
        <w:rPr>
          <w:rFonts w:ascii="Arial" w:eastAsia="Arial" w:hAnsi="Arial" w:cs="Arial"/>
          <w:sz w:val="24"/>
          <w:szCs w:val="24"/>
        </w:rPr>
        <w:t xml:space="preserve"> mirada comparativa con los estudios de otras regiones del </w:t>
      </w:r>
      <w:r>
        <w:rPr>
          <w:rFonts w:ascii="Arial" w:eastAsia="Arial" w:hAnsi="Arial" w:cs="Arial"/>
          <w:sz w:val="24"/>
          <w:szCs w:val="24"/>
        </w:rPr>
        <w:t xml:space="preserve">país y del continente americano. </w:t>
      </w:r>
      <w:r>
        <w:rPr>
          <w:rFonts w:ascii="Arial" w:eastAsia="Arial" w:hAnsi="Arial" w:cs="Arial"/>
          <w:sz w:val="24"/>
          <w:szCs w:val="24"/>
        </w:rPr>
        <w:t xml:space="preserve">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Al incorporar estudiantes de la UNSTA o recién graduados </w:t>
      </w:r>
      <w:r>
        <w:rPr>
          <w:rFonts w:ascii="Arial" w:eastAsia="Arial" w:hAnsi="Arial" w:cs="Arial"/>
          <w:sz w:val="24"/>
          <w:szCs w:val="24"/>
        </w:rPr>
        <w:t>se incentivará la formación de recursos</w:t>
      </w:r>
      <w:r>
        <w:rPr>
          <w:rFonts w:ascii="Arial" w:eastAsia="Arial" w:hAnsi="Arial" w:cs="Arial"/>
          <w:sz w:val="24"/>
          <w:szCs w:val="24"/>
        </w:rPr>
        <w:t xml:space="preserve"> humanos</w:t>
      </w:r>
      <w:r>
        <w:rPr>
          <w:rFonts w:ascii="Arial" w:eastAsia="Arial" w:hAnsi="Arial" w:cs="Arial"/>
          <w:sz w:val="24"/>
          <w:szCs w:val="24"/>
        </w:rPr>
        <w:t xml:space="preserve">. </w:t>
      </w:r>
      <w:r>
        <w:rPr>
          <w:rFonts w:ascii="Arial" w:eastAsia="Arial" w:hAnsi="Arial" w:cs="Arial"/>
          <w:sz w:val="24"/>
          <w:szCs w:val="24"/>
        </w:rPr>
        <w:t xml:space="preserve">Con la actualización bibliográfica y la vinculación a otras instituciones académicas, se ampliarán las perspectivas teóricas de análisis y el abordaje interdisciplinario de nuestras investigaciones.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La participación en </w:t>
      </w:r>
      <w:r>
        <w:rPr>
          <w:rFonts w:ascii="Arial" w:eastAsia="Arial" w:hAnsi="Arial" w:cs="Arial"/>
          <w:sz w:val="24"/>
          <w:szCs w:val="24"/>
        </w:rPr>
        <w:t>eventos nacionales e</w:t>
      </w:r>
      <w:r>
        <w:rPr>
          <w:rFonts w:ascii="Arial" w:eastAsia="Arial" w:hAnsi="Arial" w:cs="Arial"/>
          <w:sz w:val="24"/>
          <w:szCs w:val="24"/>
        </w:rPr>
        <w:t xml:space="preserve"> inter</w:t>
      </w:r>
      <w:r>
        <w:rPr>
          <w:rFonts w:ascii="Arial" w:eastAsia="Arial" w:hAnsi="Arial" w:cs="Arial"/>
          <w:sz w:val="24"/>
          <w:szCs w:val="24"/>
        </w:rPr>
        <w:t>nacionales, la organización de jornadas de carácter académico y la publicación de los resultados de la investigación en actas de congresos, libros y revistas especializadas</w:t>
      </w:r>
      <w:r>
        <w:rPr>
          <w:rFonts w:ascii="Arial" w:eastAsia="Arial" w:hAnsi="Arial" w:cs="Arial"/>
          <w:sz w:val="24"/>
          <w:szCs w:val="24"/>
        </w:rPr>
        <w:t xml:space="preserve">, </w:t>
      </w:r>
      <w:r>
        <w:rPr>
          <w:rFonts w:ascii="Arial" w:eastAsia="Arial" w:hAnsi="Arial" w:cs="Arial"/>
          <w:sz w:val="24"/>
          <w:szCs w:val="24"/>
        </w:rPr>
        <w:t>facilitará la difusión de los resultados de la investigación y el intercambio.</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En la línea de las representaciones artísticas, se continuarán los estudios de arte colonial, específicamente imaginería y talleres locales que preservaron las técnicas y estilos de este arte mestizo (por ejemplo en la ciudad de Monteros, Tucumán). Por otr</w:t>
      </w:r>
      <w:r>
        <w:rPr>
          <w:rFonts w:ascii="Arial" w:eastAsia="Arial" w:hAnsi="Arial" w:cs="Arial"/>
          <w:sz w:val="24"/>
          <w:szCs w:val="24"/>
        </w:rPr>
        <w:t>o lado se proseguirá con el análisis de artistas locales y extranjeros que actuaron en esta provincia a partir de las primeras décadas del siglo XX y cuya influencia se extendió a todo el siglo introduciendo la vanguardia en el arte religioso.</w:t>
      </w:r>
    </w:p>
    <w:p w:rsidR="00310392" w:rsidRDefault="00310392">
      <w:pPr>
        <w:pBdr>
          <w:top w:val="nil"/>
          <w:left w:val="nil"/>
          <w:bottom w:val="nil"/>
          <w:right w:val="nil"/>
          <w:between w:val="nil"/>
        </w:pBdr>
        <w:spacing w:after="0" w:line="240" w:lineRule="auto"/>
        <w:jc w:val="both"/>
        <w:rPr>
          <w:rFonts w:ascii="Arial" w:eastAsia="Arial" w:hAnsi="Arial" w:cs="Arial"/>
          <w:color w:val="FF0000"/>
          <w:sz w:val="24"/>
          <w:szCs w:val="24"/>
        </w:rPr>
      </w:pPr>
    </w:p>
    <w:p w:rsidR="00310392" w:rsidRDefault="00310392">
      <w:pPr>
        <w:pBdr>
          <w:top w:val="nil"/>
          <w:left w:val="nil"/>
          <w:bottom w:val="nil"/>
          <w:right w:val="nil"/>
          <w:between w:val="nil"/>
        </w:pBdr>
        <w:spacing w:after="0" w:line="240" w:lineRule="auto"/>
        <w:jc w:val="both"/>
        <w:rPr>
          <w:rFonts w:ascii="Arial" w:eastAsia="Arial" w:hAnsi="Arial" w:cs="Arial"/>
          <w:color w:val="FF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sz w:val="24"/>
          <w:szCs w:val="24"/>
        </w:rPr>
        <w:t>E</w:t>
      </w:r>
      <w:r>
        <w:rPr>
          <w:rFonts w:ascii="Arial" w:eastAsia="Arial" w:hAnsi="Arial" w:cs="Arial"/>
          <w:b/>
          <w:color w:val="000000"/>
          <w:sz w:val="24"/>
          <w:szCs w:val="24"/>
        </w:rPr>
        <w:t xml:space="preserve">stado de </w:t>
      </w:r>
      <w:r>
        <w:rPr>
          <w:rFonts w:ascii="Arial" w:eastAsia="Arial" w:hAnsi="Arial" w:cs="Arial"/>
          <w:b/>
          <w:color w:val="000000"/>
          <w:sz w:val="24"/>
          <w:szCs w:val="24"/>
        </w:rPr>
        <w:t>la cuestión</w:t>
      </w: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Las representaciones sociales son modalidades específicas de conocimiento del sentido común que se construyen en los intercambios de la vida cotidiana. Se trata de fenómenos producidos en forma colectiva y que ocurren en la intersección en</w:t>
      </w:r>
      <w:r>
        <w:rPr>
          <w:rFonts w:ascii="Arial" w:eastAsia="Arial" w:hAnsi="Arial" w:cs="Arial"/>
          <w:sz w:val="24"/>
          <w:szCs w:val="24"/>
        </w:rPr>
        <w:t xml:space="preserve">tre lo psicológico y lo social </w:t>
      </w: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 xml:space="preserve">Las representaciones reproducen, construyen y reconstruye el conocimiento del sentido común a partir del repertorio cognoscitivo, simbólico y cultural que la sociedad pone a su disposición (Moscovici) </w:t>
      </w: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El concepto y la t</w:t>
      </w:r>
      <w:r>
        <w:rPr>
          <w:rFonts w:ascii="Arial" w:eastAsia="Arial" w:hAnsi="Arial" w:cs="Arial"/>
          <w:sz w:val="24"/>
          <w:szCs w:val="24"/>
        </w:rPr>
        <w:t xml:space="preserve">eoría de las representaciones sociales se refieren a formas o modalidades de conocimiento social mediante las cuales las personas interpretamos y pensamos nuestra realidad cotidiana.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Por ello abordar las representaciones sobre Iglesia, Orden Dominicana y</w:t>
      </w:r>
      <w:r>
        <w:rPr>
          <w:rFonts w:ascii="Arial" w:eastAsia="Arial" w:hAnsi="Arial" w:cs="Arial"/>
          <w:sz w:val="24"/>
          <w:szCs w:val="24"/>
        </w:rPr>
        <w:t xml:space="preserve"> experiencia religiosa, permitirá una aproximación a los modos diversos cómo en cada época se interpretaron los diferentes aspectos de la experiencia religiosa,  de los ámbitos en que se desarrolló y de los itinerarios de quienes fueron sujetos de esa expe</w:t>
      </w:r>
      <w:r>
        <w:rPr>
          <w:rFonts w:ascii="Arial" w:eastAsia="Arial" w:hAnsi="Arial" w:cs="Arial"/>
          <w:sz w:val="24"/>
          <w:szCs w:val="24"/>
        </w:rPr>
        <w:t xml:space="preserve">riencia.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Los estudios sobre la Orden Dominicana que se vienen realizando desde el Instituto (Gonzalez, Amenta, Folquer, Rosselli. Calvente) serán la base para continuar indagando en este convento y sus integrantes. Por otra parte la </w:t>
      </w:r>
      <w:r>
        <w:rPr>
          <w:rFonts w:ascii="Arial" w:eastAsia="Arial" w:hAnsi="Arial" w:cs="Arial"/>
          <w:sz w:val="24"/>
          <w:szCs w:val="24"/>
        </w:rPr>
        <w:lastRenderedPageBreak/>
        <w:t>investigación sobre la</w:t>
      </w:r>
      <w:r>
        <w:rPr>
          <w:rFonts w:ascii="Arial" w:eastAsia="Arial" w:hAnsi="Arial" w:cs="Arial"/>
          <w:sz w:val="24"/>
          <w:szCs w:val="24"/>
        </w:rPr>
        <w:t xml:space="preserve"> historia de las congregaciones femeninas de vida apostólica en Argentina está dando sus primeros pasos, más se ha desarrollado el estudio de la vida monástica colonial. Para analizar el recorrido de las dominicas, se tendrá en cuenta los trabajos ya reali</w:t>
      </w:r>
      <w:r>
        <w:rPr>
          <w:rFonts w:ascii="Arial" w:eastAsia="Arial" w:hAnsi="Arial" w:cs="Arial"/>
          <w:sz w:val="24"/>
          <w:szCs w:val="24"/>
        </w:rPr>
        <w:t>zados desde el Instituto y los estudios de otros países como los de Rebecca Rogers (Brasil y Chile); Camille Foulard, María Alzira da Cruz Colombo, Paula Leonardi, Ana Cristina Pereira Lage (Brasil); Susana Monreal (Uruguay); Sol Serrano y Alexandrine dell</w:t>
      </w:r>
      <w:r>
        <w:rPr>
          <w:rFonts w:ascii="Arial" w:eastAsia="Arial" w:hAnsi="Arial" w:cs="Arial"/>
          <w:sz w:val="24"/>
          <w:szCs w:val="24"/>
        </w:rPr>
        <w:t>a Taille (Chile); Beatriz Castro Caravajal (Colombia).</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En lo que se refiere a la escritura biográfica, los trabajos de François Dosse, Giovanni Levi, Paula Bruno, Pierre Bourdieu,  serán una fuente de inspiración para escribir las vidas de los frailes del </w:t>
      </w:r>
      <w:r>
        <w:rPr>
          <w:rFonts w:ascii="Arial" w:eastAsia="Arial" w:hAnsi="Arial" w:cs="Arial"/>
          <w:sz w:val="24"/>
          <w:szCs w:val="24"/>
        </w:rPr>
        <w:t>convento de Tucumán.</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Para reconstruir la vida cotidiana del convento dominicano se analizarán los trabajos de Pilar Gonzalbo Aizpuru realizados en México y el de Alfonso Esponera Cerdán para el caso español. Sobre los conventos dominicos no existen trabajo</w:t>
      </w:r>
      <w:r>
        <w:rPr>
          <w:rFonts w:ascii="Arial" w:eastAsia="Arial" w:hAnsi="Arial" w:cs="Arial"/>
          <w:sz w:val="24"/>
          <w:szCs w:val="24"/>
        </w:rPr>
        <w:t>s en Argentina desde esta perspectiva, por lo que se propone cubrir este vacío.</w:t>
      </w:r>
    </w:p>
    <w:p w:rsidR="00310392" w:rsidRDefault="00310392">
      <w:pPr>
        <w:pBdr>
          <w:top w:val="nil"/>
          <w:left w:val="nil"/>
          <w:bottom w:val="nil"/>
          <w:right w:val="nil"/>
          <w:between w:val="nil"/>
        </w:pBdr>
        <w:spacing w:after="0" w:line="240" w:lineRule="auto"/>
        <w:jc w:val="both"/>
        <w:rPr>
          <w:rFonts w:ascii="Arial" w:eastAsia="Arial" w:hAnsi="Arial" w:cs="Arial"/>
          <w:color w:val="FF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Los estudios sobre la dimensión espacial de la experiencia religiosa han experimentado importantes avances en los últimos años dentro de la historiografía argentina. Se destac</w:t>
      </w:r>
      <w:r>
        <w:rPr>
          <w:rFonts w:ascii="Arial" w:eastAsia="Arial" w:hAnsi="Arial" w:cs="Arial"/>
          <w:sz w:val="24"/>
          <w:szCs w:val="24"/>
        </w:rPr>
        <w:t>an las investigaciones de María Elena Barral, con una prolífica obra referida al proceso de institucionalización y territorialización de la campaña bonaerense, durante el siglo XVIII y comienzos de la centuria siguiente. Situada en el cruce entre la histor</w:t>
      </w:r>
      <w:r>
        <w:rPr>
          <w:rFonts w:ascii="Arial" w:eastAsia="Arial" w:hAnsi="Arial" w:cs="Arial"/>
          <w:sz w:val="24"/>
          <w:szCs w:val="24"/>
        </w:rPr>
        <w:t>ia Rural y la Historia de la Justicia, la obra de Barral marcó un sendero que fue transitado por historiadores de provincia, como Enrique Cruz quien estudió la configuración de los curatos de la Quebrada de Humahuaca y de la Puna jujeña, entre el siglos XV</w:t>
      </w:r>
      <w:r>
        <w:rPr>
          <w:rFonts w:ascii="Arial" w:eastAsia="Arial" w:hAnsi="Arial" w:cs="Arial"/>
          <w:sz w:val="24"/>
          <w:szCs w:val="24"/>
        </w:rPr>
        <w:t>II y XVIII. También  dentro de esta vertiente de estudios,  Silvia Ratto abordó las funciones e importancia de la línea reduccional del litoral rioplatense.</w:t>
      </w:r>
    </w:p>
    <w:p w:rsidR="00310392" w:rsidRDefault="00523C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Pero si consideramos que “hacer historia de las divisiones administrativas, es hacer historia de las relaciones entre el poder y el espacio” (Hespanha), el horizonte historiográfico que nos guía, se relaciona más con las propuestas de la Antropología Juríd</w:t>
      </w:r>
      <w:r>
        <w:rPr>
          <w:rFonts w:ascii="Arial" w:eastAsia="Arial" w:hAnsi="Arial" w:cs="Arial"/>
          <w:sz w:val="24"/>
          <w:szCs w:val="24"/>
        </w:rPr>
        <w:t>ica y la Historia Crítica del Derecho, en sus esfuerzos por comprender de qué modo se ejercía el poder durante el Antiguo Régimen, apartados de las anacrónicas interpretaciones “estatalistas”. En esa línea,</w:t>
      </w:r>
      <w:r>
        <w:rPr>
          <w:rFonts w:ascii="Arial" w:eastAsia="Arial" w:hAnsi="Arial" w:cs="Arial"/>
          <w:color w:val="0B5394"/>
          <w:sz w:val="24"/>
          <w:szCs w:val="24"/>
        </w:rPr>
        <w:t xml:space="preserve"> </w:t>
      </w:r>
      <w:r>
        <w:rPr>
          <w:rFonts w:ascii="Arial" w:eastAsia="Arial" w:hAnsi="Arial" w:cs="Arial"/>
          <w:sz w:val="24"/>
          <w:szCs w:val="24"/>
        </w:rPr>
        <w:t xml:space="preserve">sobresalen los trabajos de Darío Barriera, quien </w:t>
      </w:r>
      <w:r>
        <w:rPr>
          <w:rFonts w:ascii="Arial" w:eastAsia="Arial" w:hAnsi="Arial" w:cs="Arial"/>
          <w:sz w:val="24"/>
          <w:szCs w:val="24"/>
        </w:rPr>
        <w:t>exploró la configuración territorial de Santa Fe durante la dominación hispánica, adaptando el concepto de “equipamiento político del territorio”. Ésta y otras categorías brindan las claves de lectura de las fuentes coloniales para la reconstrucción de las</w:t>
      </w:r>
      <w:r>
        <w:rPr>
          <w:rFonts w:ascii="Arial" w:eastAsia="Arial" w:hAnsi="Arial" w:cs="Arial"/>
          <w:sz w:val="24"/>
          <w:szCs w:val="24"/>
        </w:rPr>
        <w:t xml:space="preserve"> circunscripciones eclesiásticas, principal objetivo de las investigaciones de Miriam Moriconi sobre Santa Fe,  inscripta dentro de la Historia de la Iglesia y de la religiosidad. En la misma línea de estudios, pero enriquecida con la mirada antropológica,</w:t>
      </w:r>
      <w:r>
        <w:rPr>
          <w:rFonts w:ascii="Arial" w:eastAsia="Arial" w:hAnsi="Arial" w:cs="Arial"/>
          <w:sz w:val="24"/>
          <w:szCs w:val="24"/>
        </w:rPr>
        <w:t xml:space="preserve"> Dolores Estruch abordó los conflictos jurisdiccionales en Jujuy durante los siglos XVII y XVIII</w:t>
      </w:r>
      <w:r>
        <w:rPr>
          <w:rFonts w:ascii="Times New Roman" w:eastAsia="Times New Roman" w:hAnsi="Times New Roman" w:cs="Times New Roman"/>
          <w:sz w:val="24"/>
          <w:szCs w:val="24"/>
        </w:rPr>
        <w:t>.</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Los estudios recientes sobre el proceso de construcción institucional de la Iglesia católica en la Argentina desde mediados del siglo XIX, que se dio en paral</w:t>
      </w:r>
      <w:r>
        <w:rPr>
          <w:rFonts w:ascii="Arial" w:eastAsia="Arial" w:hAnsi="Arial" w:cs="Arial"/>
          <w:sz w:val="24"/>
          <w:szCs w:val="24"/>
        </w:rPr>
        <w:t xml:space="preserve">elo  a la construcción del Estado (Di Stefano), desplazaron posteriormente el eje de discusión hacia el peso relativo de los diferentes actores involucrados en estos procesos (Lida). Las investigaciones más recientes provenientes de autores de </w:t>
      </w:r>
      <w:r>
        <w:rPr>
          <w:rFonts w:ascii="Arial" w:eastAsia="Arial" w:hAnsi="Arial" w:cs="Arial"/>
          <w:sz w:val="24"/>
          <w:szCs w:val="24"/>
        </w:rPr>
        <w:lastRenderedPageBreak/>
        <w:t>otros ámbito</w:t>
      </w:r>
      <w:r>
        <w:rPr>
          <w:rFonts w:ascii="Arial" w:eastAsia="Arial" w:hAnsi="Arial" w:cs="Arial"/>
          <w:sz w:val="24"/>
          <w:szCs w:val="24"/>
        </w:rPr>
        <w:t>s geográficos (Solans en España y Santirocchi en Brasil, entre otros) han aportado a la discusión centrándose en el estudio del proceso de romanización en esos otros espacios. Estos estudios permiten ahora a autores como Ignacio Martínez complejizar los co</w:t>
      </w:r>
      <w:r>
        <w:rPr>
          <w:rFonts w:ascii="Arial" w:eastAsia="Arial" w:hAnsi="Arial" w:cs="Arial"/>
          <w:sz w:val="24"/>
          <w:szCs w:val="24"/>
        </w:rPr>
        <w:t>mplicados vericuetos de las relaciones Iglesia-Estado que habían sido, en términos de Di Stefano, “interpretadas con imprudente ligereza y precipitación”. En el mismo sentido se considera que los estudios realizados desde Tucumán (en el ámbito de la vicarí</w:t>
      </w:r>
      <w:r>
        <w:rPr>
          <w:rFonts w:ascii="Arial" w:eastAsia="Arial" w:hAnsi="Arial" w:cs="Arial"/>
          <w:sz w:val="24"/>
          <w:szCs w:val="24"/>
        </w:rPr>
        <w:t>a foránea tucumana)  en lo tocante al presupuesto estatal para el culto, al funcionamiento del Vice-patronato dentro del espacio provincial o el ejercicio del poder episcopal, pueden ser determinantes para una comprensión más completa de esos procesos en c</w:t>
      </w:r>
      <w:r>
        <w:rPr>
          <w:rFonts w:ascii="Arial" w:eastAsia="Arial" w:hAnsi="Arial" w:cs="Arial"/>
          <w:sz w:val="24"/>
          <w:szCs w:val="24"/>
        </w:rPr>
        <w:t xml:space="preserve">omparación con las jurisdicciones de Córdoba y Buenos Aires. </w:t>
      </w: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 xml:space="preserve">Avanzando en el siglo XX, para referirnos al laicado católico, es ineludible la figura de Arturo Ponsati, sobre quien se encuentran algunos estudios realizados por Eduardo Ruiz Pesce, brindando </w:t>
      </w:r>
      <w:r>
        <w:rPr>
          <w:rFonts w:ascii="Arial" w:eastAsia="Arial" w:hAnsi="Arial" w:cs="Arial"/>
          <w:sz w:val="24"/>
          <w:szCs w:val="24"/>
        </w:rPr>
        <w:t xml:space="preserve">una mirada integral de su accionar como político, académico, jurista y cristiano. El archivo personal de Arturo Ponsati, propiciará una serie de documentos inéditos que permitirán avanzar en la comprensión de su interesante trayectoria vital. Los estudios </w:t>
      </w:r>
      <w:r>
        <w:rPr>
          <w:rFonts w:ascii="Arial" w:eastAsia="Arial" w:hAnsi="Arial" w:cs="Arial"/>
          <w:sz w:val="24"/>
          <w:szCs w:val="24"/>
        </w:rPr>
        <w:t xml:space="preserve">sobre los intelectuales católicos en Argentina durante el siglo XX, avanzaron de la mano José Zanca, quien será un referente fundamental en este trayecto de </w:t>
      </w:r>
      <w:proofErr w:type="gramStart"/>
      <w:r>
        <w:rPr>
          <w:rFonts w:ascii="Arial" w:eastAsia="Arial" w:hAnsi="Arial" w:cs="Arial"/>
          <w:sz w:val="24"/>
          <w:szCs w:val="24"/>
        </w:rPr>
        <w:t>investigación .</w:t>
      </w:r>
      <w:proofErr w:type="gramEnd"/>
      <w:r>
        <w:rPr>
          <w:rFonts w:ascii="Arial" w:eastAsia="Arial" w:hAnsi="Arial" w:cs="Arial"/>
          <w:sz w:val="24"/>
          <w:szCs w:val="24"/>
        </w:rPr>
        <w:t xml:space="preserve"> </w:t>
      </w:r>
    </w:p>
    <w:p w:rsidR="00310392" w:rsidRDefault="00310392">
      <w:pPr>
        <w:pBdr>
          <w:top w:val="nil"/>
          <w:left w:val="nil"/>
          <w:bottom w:val="nil"/>
          <w:right w:val="nil"/>
          <w:between w:val="nil"/>
        </w:pBdr>
        <w:spacing w:after="0" w:line="240" w:lineRule="auto"/>
        <w:jc w:val="both"/>
        <w:rPr>
          <w:rFonts w:ascii="Arial" w:eastAsia="Arial" w:hAnsi="Arial" w:cs="Arial"/>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color w:val="FF0000"/>
          <w:sz w:val="24"/>
          <w:szCs w:val="24"/>
        </w:rPr>
      </w:pPr>
      <w:r>
        <w:rPr>
          <w:rFonts w:ascii="Arial" w:eastAsia="Arial" w:hAnsi="Arial" w:cs="Arial"/>
          <w:b/>
          <w:color w:val="000000"/>
          <w:sz w:val="24"/>
          <w:szCs w:val="24"/>
        </w:rPr>
        <w:t xml:space="preserve">OBJETIVOS GENERALES </w:t>
      </w: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Indagar en las representaciones sociales sobre la iglesia, la Orden Dominicana y prácticas religiosas en Argentina desde la colonia a la actualidad.</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Analizar</w:t>
      </w:r>
      <w:r>
        <w:rPr>
          <w:rFonts w:ascii="Arial" w:eastAsia="Arial" w:hAnsi="Arial" w:cs="Arial"/>
          <w:sz w:val="24"/>
          <w:szCs w:val="24"/>
        </w:rPr>
        <w:t xml:space="preserve"> </w:t>
      </w:r>
      <w:r>
        <w:rPr>
          <w:rFonts w:ascii="Arial" w:eastAsia="Arial" w:hAnsi="Arial" w:cs="Arial"/>
          <w:sz w:val="24"/>
          <w:szCs w:val="24"/>
        </w:rPr>
        <w:t xml:space="preserve">las nuevas sensibilidades estéticas </w:t>
      </w:r>
      <w:r>
        <w:rPr>
          <w:rFonts w:ascii="Arial" w:eastAsia="Arial" w:hAnsi="Arial" w:cs="Arial"/>
          <w:sz w:val="24"/>
          <w:szCs w:val="24"/>
        </w:rPr>
        <w:t xml:space="preserve">que se desarrollan en nuestra provincia a </w:t>
      </w:r>
      <w:r>
        <w:rPr>
          <w:rFonts w:ascii="Arial" w:eastAsia="Arial" w:hAnsi="Arial" w:cs="Arial"/>
          <w:sz w:val="24"/>
          <w:szCs w:val="24"/>
        </w:rPr>
        <w:t>partir de las prim</w:t>
      </w:r>
      <w:r>
        <w:rPr>
          <w:rFonts w:ascii="Arial" w:eastAsia="Arial" w:hAnsi="Arial" w:cs="Arial"/>
          <w:sz w:val="24"/>
          <w:szCs w:val="24"/>
        </w:rPr>
        <w:t>eras décadas del siglo XX</w:t>
      </w:r>
      <w:r>
        <w:rPr>
          <w:rFonts w:ascii="Arial" w:eastAsia="Arial" w:hAnsi="Arial" w:cs="Arial"/>
          <w:sz w:val="24"/>
          <w:szCs w:val="24"/>
        </w:rPr>
        <w:t>, como espacio privilegiado para indagar en las representaciones sociales.</w:t>
      </w:r>
    </w:p>
    <w:p w:rsidR="00310392" w:rsidRDefault="00310392">
      <w:pPr>
        <w:pBdr>
          <w:top w:val="nil"/>
          <w:left w:val="nil"/>
          <w:bottom w:val="nil"/>
          <w:right w:val="nil"/>
          <w:between w:val="nil"/>
        </w:pBdr>
        <w:spacing w:after="0" w:line="240" w:lineRule="auto"/>
        <w:jc w:val="both"/>
        <w:rPr>
          <w:rFonts w:ascii="Arial" w:eastAsia="Arial" w:hAnsi="Arial" w:cs="Arial"/>
          <w:sz w:val="24"/>
          <w:szCs w:val="24"/>
          <w:highlight w:val="yellow"/>
        </w:rPr>
      </w:pPr>
    </w:p>
    <w:p w:rsidR="00310392" w:rsidRDefault="00310392">
      <w:pPr>
        <w:pBdr>
          <w:top w:val="nil"/>
          <w:left w:val="nil"/>
          <w:bottom w:val="nil"/>
          <w:right w:val="nil"/>
          <w:between w:val="nil"/>
        </w:pBdr>
        <w:spacing w:after="0" w:line="240" w:lineRule="auto"/>
        <w:jc w:val="both"/>
        <w:rPr>
          <w:rFonts w:ascii="Arial" w:eastAsia="Arial" w:hAnsi="Arial" w:cs="Arial"/>
          <w:sz w:val="24"/>
          <w:szCs w:val="24"/>
          <w:highlight w:val="yellow"/>
        </w:rPr>
      </w:pPr>
    </w:p>
    <w:p w:rsidR="00310392" w:rsidRDefault="00523CCD">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OBJETIVOS ESPECÍFICOS E HIPÓTESIS DE TRABAJO </w:t>
      </w:r>
    </w:p>
    <w:p w:rsidR="00310392" w:rsidRDefault="00310392">
      <w:pPr>
        <w:pBdr>
          <w:top w:val="nil"/>
          <w:left w:val="nil"/>
          <w:bottom w:val="nil"/>
          <w:right w:val="nil"/>
          <w:between w:val="nil"/>
        </w:pBdr>
        <w:spacing w:after="0" w:line="360" w:lineRule="auto"/>
        <w:jc w:val="both"/>
        <w:rPr>
          <w:rFonts w:ascii="Arial" w:eastAsia="Arial" w:hAnsi="Arial" w:cs="Arial"/>
          <w:b/>
          <w:color w:val="4A86E8"/>
          <w:sz w:val="24"/>
          <w:szCs w:val="24"/>
        </w:rPr>
      </w:pPr>
    </w:p>
    <w:p w:rsidR="00310392" w:rsidRDefault="00523CCD">
      <w:pPr>
        <w:pBdr>
          <w:top w:val="nil"/>
          <w:left w:val="nil"/>
          <w:bottom w:val="nil"/>
          <w:right w:val="nil"/>
          <w:between w:val="nil"/>
        </w:pBdr>
        <w:spacing w:after="0" w:line="360" w:lineRule="auto"/>
        <w:jc w:val="both"/>
        <w:rPr>
          <w:rFonts w:ascii="Arial" w:eastAsia="Arial" w:hAnsi="Arial" w:cs="Arial"/>
          <w:b/>
          <w:i/>
          <w:color w:val="000000"/>
          <w:sz w:val="24"/>
          <w:szCs w:val="24"/>
        </w:rPr>
      </w:pPr>
      <w:r>
        <w:rPr>
          <w:rFonts w:ascii="Arial" w:eastAsia="Arial" w:hAnsi="Arial" w:cs="Arial"/>
          <w:b/>
          <w:i/>
          <w:color w:val="000000"/>
          <w:sz w:val="24"/>
          <w:szCs w:val="24"/>
        </w:rPr>
        <w:t>Período Colonial- inicios del siglo XIX</w:t>
      </w:r>
    </w:p>
    <w:p w:rsidR="00310392" w:rsidRDefault="00310392">
      <w:pPr>
        <w:pBdr>
          <w:top w:val="nil"/>
          <w:left w:val="nil"/>
          <w:bottom w:val="nil"/>
          <w:right w:val="nil"/>
          <w:between w:val="nil"/>
        </w:pBdr>
        <w:spacing w:after="0" w:line="360" w:lineRule="auto"/>
        <w:jc w:val="both"/>
        <w:rPr>
          <w:rFonts w:ascii="Arial" w:eastAsia="Arial" w:hAnsi="Arial" w:cs="Arial"/>
          <w:b/>
          <w:color w:val="000000"/>
          <w:sz w:val="24"/>
          <w:szCs w:val="24"/>
          <w:u w:val="single"/>
        </w:rPr>
      </w:pPr>
    </w:p>
    <w:p w:rsidR="00310392" w:rsidRDefault="00523CCD">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Objetivos específicos</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xml:space="preserve">- Reconstruir el proceso de configuración eclesiástica del territorio de San Miguel de Tucumán y su </w:t>
      </w:r>
      <w:r>
        <w:rPr>
          <w:rFonts w:ascii="Arial" w:eastAsia="Arial" w:hAnsi="Arial" w:cs="Arial"/>
          <w:i/>
          <w:sz w:val="24"/>
          <w:szCs w:val="24"/>
        </w:rPr>
        <w:t>hinterland</w:t>
      </w:r>
      <w:r>
        <w:rPr>
          <w:rFonts w:ascii="Arial" w:eastAsia="Arial" w:hAnsi="Arial" w:cs="Arial"/>
          <w:sz w:val="24"/>
          <w:szCs w:val="24"/>
        </w:rPr>
        <w:t xml:space="preserve"> entre el siglo XVII y comienzos del siglo XIX.</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Comprender la lógica jurisdiccionalista en la gestión del territorio eclesiástico.</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Indagar las representaciones sociales sobre el territorio de la vicaría foránea durante la dominación hispánica.</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Explorar el fondo colonial del archivo dominicano local para profundizar el conocimiento de la Orden de Predicadores y de la Iglesia tucuma</w:t>
      </w:r>
      <w:r>
        <w:rPr>
          <w:rFonts w:ascii="Arial" w:eastAsia="Arial" w:hAnsi="Arial" w:cs="Arial"/>
          <w:sz w:val="24"/>
          <w:szCs w:val="24"/>
        </w:rPr>
        <w:t>na.</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 Avanzar en los estudios de la imaginería colonial en su concepción de arte mestizo a partir de la aparición de talleres locales, particularmente de una familia de imagineros en el interior de nuestra provincia (Monteros) y la supervivencia de técnicas y </w:t>
      </w:r>
      <w:r>
        <w:rPr>
          <w:rFonts w:ascii="Arial" w:eastAsia="Arial" w:hAnsi="Arial" w:cs="Arial"/>
          <w:sz w:val="24"/>
          <w:szCs w:val="24"/>
        </w:rPr>
        <w:t>estilos que se prolongaron hasta fines del siglo XIX.</w:t>
      </w:r>
    </w:p>
    <w:p w:rsidR="00310392" w:rsidRDefault="00310392">
      <w:pPr>
        <w:pBdr>
          <w:top w:val="nil"/>
          <w:left w:val="nil"/>
          <w:bottom w:val="nil"/>
          <w:right w:val="nil"/>
          <w:between w:val="nil"/>
        </w:pBdr>
        <w:spacing w:after="0" w:line="360" w:lineRule="auto"/>
        <w:jc w:val="both"/>
        <w:rPr>
          <w:rFonts w:ascii="Arial" w:eastAsia="Arial" w:hAnsi="Arial" w:cs="Arial"/>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Hipótesis</w:t>
      </w:r>
    </w:p>
    <w:p w:rsidR="00310392" w:rsidRDefault="00310392">
      <w:pPr>
        <w:pBdr>
          <w:top w:val="nil"/>
          <w:left w:val="nil"/>
          <w:bottom w:val="nil"/>
          <w:right w:val="nil"/>
          <w:between w:val="nil"/>
        </w:pBdr>
        <w:spacing w:after="0" w:line="240" w:lineRule="auto"/>
        <w:jc w:val="both"/>
        <w:rPr>
          <w:rFonts w:ascii="Arial" w:eastAsia="Arial" w:hAnsi="Arial" w:cs="Arial"/>
          <w:b/>
          <w:sz w:val="24"/>
          <w:szCs w:val="24"/>
        </w:rPr>
      </w:pPr>
    </w:p>
    <w:p w:rsidR="00310392" w:rsidRDefault="00523CCD">
      <w:pPr>
        <w:pBdr>
          <w:top w:val="nil"/>
          <w:left w:val="nil"/>
          <w:bottom w:val="nil"/>
          <w:right w:val="nil"/>
          <w:between w:val="nil"/>
        </w:pBdr>
        <w:spacing w:after="0" w:line="240" w:lineRule="auto"/>
        <w:ind w:right="30"/>
        <w:jc w:val="both"/>
        <w:rPr>
          <w:rFonts w:ascii="Arial" w:eastAsia="Arial" w:hAnsi="Arial" w:cs="Arial"/>
          <w:sz w:val="24"/>
          <w:szCs w:val="24"/>
        </w:rPr>
      </w:pPr>
      <w:r>
        <w:rPr>
          <w:rFonts w:ascii="Arial" w:eastAsia="Arial" w:hAnsi="Arial" w:cs="Arial"/>
          <w:sz w:val="24"/>
          <w:szCs w:val="24"/>
        </w:rPr>
        <w:t>- Concluidas las Guerras Calchaquíes, el proceso de equipamiento político eclesiástico del territorio tucumano, que se venía desarrollando desde las primeras fundaciones, se reanudó. Desde l</w:t>
      </w:r>
      <w:r>
        <w:rPr>
          <w:rFonts w:ascii="Arial" w:eastAsia="Arial" w:hAnsi="Arial" w:cs="Arial"/>
          <w:sz w:val="24"/>
          <w:szCs w:val="24"/>
        </w:rPr>
        <w:t>a década de 1670 es posible observar el surgimiento de nuevas circunscripciones eclesiásticas, además de otras instituciones como iglesias, capillas, oratorios, etc.</w:t>
      </w:r>
    </w:p>
    <w:p w:rsidR="00310392" w:rsidRDefault="00523CCD">
      <w:pPr>
        <w:spacing w:after="0" w:line="240" w:lineRule="auto"/>
        <w:ind w:right="30"/>
        <w:jc w:val="both"/>
        <w:rPr>
          <w:rFonts w:ascii="Arial" w:eastAsia="Arial" w:hAnsi="Arial" w:cs="Arial"/>
          <w:sz w:val="24"/>
          <w:szCs w:val="24"/>
        </w:rPr>
      </w:pPr>
      <w:r>
        <w:rPr>
          <w:rFonts w:ascii="Arial" w:eastAsia="Arial" w:hAnsi="Arial" w:cs="Arial"/>
          <w:sz w:val="24"/>
          <w:szCs w:val="24"/>
        </w:rPr>
        <w:t>- En la delimitación de las nuevas circunscripciones eclesiásticas jugaron un rol preponde</w:t>
      </w:r>
      <w:r>
        <w:rPr>
          <w:rFonts w:ascii="Arial" w:eastAsia="Arial" w:hAnsi="Arial" w:cs="Arial"/>
          <w:sz w:val="24"/>
          <w:szCs w:val="24"/>
        </w:rPr>
        <w:t>rante intereses tanto de agentes seculares como religiosos, mientras que algunos de los nuevos territorios demarcados respondieron a situaciones de hecho.</w:t>
      </w:r>
    </w:p>
    <w:p w:rsidR="00310392" w:rsidRDefault="00523CCD">
      <w:pPr>
        <w:spacing w:after="0" w:line="240" w:lineRule="auto"/>
        <w:ind w:right="30"/>
        <w:jc w:val="both"/>
        <w:rPr>
          <w:rFonts w:ascii="Arial" w:eastAsia="Arial" w:hAnsi="Arial" w:cs="Arial"/>
          <w:sz w:val="24"/>
          <w:szCs w:val="24"/>
        </w:rPr>
      </w:pPr>
      <w:r>
        <w:rPr>
          <w:rFonts w:ascii="Arial" w:eastAsia="Arial" w:hAnsi="Arial" w:cs="Arial"/>
          <w:sz w:val="24"/>
          <w:szCs w:val="24"/>
        </w:rPr>
        <w:t xml:space="preserve">- El ejercicio de la </w:t>
      </w:r>
      <w:r>
        <w:rPr>
          <w:rFonts w:ascii="Arial" w:eastAsia="Arial" w:hAnsi="Arial" w:cs="Arial"/>
          <w:i/>
          <w:sz w:val="24"/>
          <w:szCs w:val="24"/>
        </w:rPr>
        <w:t>iurisdictio</w:t>
      </w:r>
      <w:r>
        <w:rPr>
          <w:rFonts w:ascii="Arial" w:eastAsia="Arial" w:hAnsi="Arial" w:cs="Arial"/>
          <w:sz w:val="24"/>
          <w:szCs w:val="24"/>
        </w:rPr>
        <w:t xml:space="preserve"> implicó innumerables conflictos en torno a las jurisdicciones sobre </w:t>
      </w:r>
      <w:r>
        <w:rPr>
          <w:rFonts w:ascii="Arial" w:eastAsia="Arial" w:hAnsi="Arial" w:cs="Arial"/>
          <w:sz w:val="24"/>
          <w:szCs w:val="24"/>
        </w:rPr>
        <w:t>territorios y sobre almas.</w:t>
      </w:r>
    </w:p>
    <w:p w:rsidR="00310392" w:rsidRDefault="00523CCD">
      <w:pPr>
        <w:spacing w:after="0" w:line="240" w:lineRule="auto"/>
        <w:ind w:right="30"/>
        <w:jc w:val="both"/>
        <w:rPr>
          <w:rFonts w:ascii="Arial" w:eastAsia="Arial" w:hAnsi="Arial" w:cs="Arial"/>
          <w:sz w:val="24"/>
          <w:szCs w:val="24"/>
        </w:rPr>
      </w:pPr>
      <w:r>
        <w:rPr>
          <w:rFonts w:ascii="Arial" w:eastAsia="Arial" w:hAnsi="Arial" w:cs="Arial"/>
          <w:sz w:val="24"/>
          <w:szCs w:val="24"/>
        </w:rPr>
        <w:t>- A partir de la presencia de los distintos dispositivos eclesiales (parroquias, capillas, oratorios, cofradías) que jalonaron la jurisdicción, y de la existencia de devociones que obraron como focos de prácticas piadosas, emergi</w:t>
      </w:r>
      <w:r>
        <w:rPr>
          <w:rFonts w:ascii="Arial" w:eastAsia="Arial" w:hAnsi="Arial" w:cs="Arial"/>
          <w:sz w:val="24"/>
          <w:szCs w:val="24"/>
        </w:rPr>
        <w:t>eron representaciones que vinculaban a los fieles con el territorio.</w:t>
      </w:r>
    </w:p>
    <w:p w:rsidR="00310392" w:rsidRDefault="00523CCD">
      <w:pPr>
        <w:spacing w:after="0" w:line="240" w:lineRule="auto"/>
        <w:ind w:right="30"/>
        <w:jc w:val="both"/>
        <w:rPr>
          <w:rFonts w:ascii="Arial" w:eastAsia="Arial" w:hAnsi="Arial" w:cs="Arial"/>
          <w:sz w:val="24"/>
          <w:szCs w:val="24"/>
        </w:rPr>
      </w:pPr>
      <w:r>
        <w:rPr>
          <w:rFonts w:ascii="Arial" w:eastAsia="Arial" w:hAnsi="Arial" w:cs="Arial"/>
          <w:sz w:val="24"/>
          <w:szCs w:val="24"/>
        </w:rPr>
        <w:t>- La imaginería colonial se desarrolló en nuestro territorio desde los primeros tiempos de la colonia. En nuestra provincia, alejada de los grandes centros de producción, este arte se llevó a cabo a partir de talleres locales y sobre todo de familias que p</w:t>
      </w:r>
      <w:r>
        <w:rPr>
          <w:rFonts w:ascii="Arial" w:eastAsia="Arial" w:hAnsi="Arial" w:cs="Arial"/>
          <w:sz w:val="24"/>
          <w:szCs w:val="24"/>
        </w:rPr>
        <w:t>reservaron las técnicas y estilos de las escuelas regionales.</w:t>
      </w:r>
    </w:p>
    <w:p w:rsidR="00310392" w:rsidRDefault="00310392">
      <w:pPr>
        <w:pBdr>
          <w:top w:val="nil"/>
          <w:left w:val="nil"/>
          <w:bottom w:val="nil"/>
          <w:right w:val="nil"/>
          <w:between w:val="nil"/>
        </w:pBdr>
        <w:spacing w:after="0" w:line="240" w:lineRule="auto"/>
        <w:ind w:right="30"/>
        <w:jc w:val="both"/>
        <w:rPr>
          <w:rFonts w:ascii="Arial" w:eastAsia="Arial" w:hAnsi="Arial" w:cs="Arial"/>
          <w:b/>
          <w:sz w:val="24"/>
          <w:szCs w:val="24"/>
        </w:rPr>
      </w:pPr>
    </w:p>
    <w:p w:rsidR="00310392" w:rsidRDefault="00523CCD">
      <w:pPr>
        <w:pBdr>
          <w:top w:val="nil"/>
          <w:left w:val="nil"/>
          <w:bottom w:val="nil"/>
          <w:right w:val="nil"/>
          <w:between w:val="nil"/>
        </w:pBdr>
        <w:spacing w:after="0" w:line="360" w:lineRule="auto"/>
        <w:jc w:val="both"/>
        <w:rPr>
          <w:rFonts w:ascii="Arial" w:eastAsia="Arial" w:hAnsi="Arial" w:cs="Arial"/>
          <w:b/>
          <w:color w:val="000000"/>
          <w:sz w:val="24"/>
          <w:szCs w:val="24"/>
          <w:u w:val="single"/>
        </w:rPr>
      </w:pPr>
      <w:r>
        <w:rPr>
          <w:rFonts w:ascii="Arial" w:eastAsia="Arial" w:hAnsi="Arial" w:cs="Arial"/>
          <w:b/>
          <w:i/>
          <w:color w:val="000000"/>
          <w:sz w:val="24"/>
          <w:szCs w:val="24"/>
        </w:rPr>
        <w:t>Siglo XIX</w:t>
      </w:r>
      <w:r>
        <w:rPr>
          <w:rFonts w:ascii="Arial" w:eastAsia="Arial" w:hAnsi="Arial" w:cs="Arial"/>
          <w:b/>
          <w:color w:val="000000"/>
          <w:sz w:val="24"/>
          <w:szCs w:val="24"/>
          <w:u w:val="single"/>
        </w:rPr>
        <w:t xml:space="preserve"> </w:t>
      </w:r>
    </w:p>
    <w:p w:rsidR="00310392" w:rsidRDefault="00310392">
      <w:pPr>
        <w:pBdr>
          <w:top w:val="nil"/>
          <w:left w:val="nil"/>
          <w:bottom w:val="nil"/>
          <w:right w:val="nil"/>
          <w:between w:val="nil"/>
        </w:pBdr>
        <w:spacing w:after="0" w:line="240" w:lineRule="auto"/>
        <w:jc w:val="both"/>
        <w:rPr>
          <w:rFonts w:ascii="Arial" w:eastAsia="Arial" w:hAnsi="Arial" w:cs="Arial"/>
          <w:b/>
          <w:color w:val="000000"/>
          <w:sz w:val="24"/>
          <w:szCs w:val="24"/>
          <w:u w:val="single"/>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Objetivos específicos</w:t>
      </w:r>
    </w:p>
    <w:p w:rsidR="00310392" w:rsidRDefault="00310392">
      <w:pPr>
        <w:pBdr>
          <w:top w:val="nil"/>
          <w:left w:val="nil"/>
          <w:bottom w:val="nil"/>
          <w:right w:val="nil"/>
          <w:between w:val="nil"/>
        </w:pBdr>
        <w:spacing w:after="0" w:line="240" w:lineRule="auto"/>
        <w:jc w:val="both"/>
        <w:rPr>
          <w:rFonts w:ascii="Arial" w:eastAsia="Arial" w:hAnsi="Arial" w:cs="Arial"/>
          <w:b/>
          <w:color w:val="0000FF"/>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Reconstruir a través de los archivos dominicanos: 1) la vida cotidiana en el convento de Tucumán, en comparación con otros conventos del territorio argentino.  2) Indagar los itinerarios de vida de algunos frailes (segunda mitad del siglo XIX y primeras dé</w:t>
      </w:r>
      <w:r>
        <w:rPr>
          <w:rFonts w:ascii="Arial" w:eastAsia="Arial" w:hAnsi="Arial" w:cs="Arial"/>
          <w:sz w:val="24"/>
          <w:szCs w:val="24"/>
        </w:rPr>
        <w:t>cadas del XX)</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Indagar en la etapa francesa de la vida de Fr. A.M.Boisdron, en su proceso de formación y proyección pastoral.</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Identificar y caracterizar a los actores involucrados en el proceso de construcción institucional de la Iglesia católica en la </w:t>
      </w:r>
      <w:r>
        <w:rPr>
          <w:rFonts w:ascii="Arial" w:eastAsia="Arial" w:hAnsi="Arial" w:cs="Arial"/>
          <w:sz w:val="24"/>
          <w:szCs w:val="24"/>
        </w:rPr>
        <w:t xml:space="preserve">segunda mitad del siglo XIX, teniendo en cuenta aspectos como: 1) sus formas de acción, 2) los intereses que guiaron esa acción y 3) los vínculos establecidos con los otros actores.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 Identificar y analizar las variables que permitan comprender el impacto del proceso de secularización en la Vicaría foránea de Tucumán. </w:t>
      </w:r>
    </w:p>
    <w:p w:rsidR="00310392" w:rsidRDefault="00523CCD">
      <w:pPr>
        <w:pBdr>
          <w:top w:val="nil"/>
          <w:left w:val="nil"/>
          <w:bottom w:val="nil"/>
          <w:right w:val="nil"/>
          <w:between w:val="nil"/>
        </w:pBdr>
        <w:spacing w:after="0" w:line="240" w:lineRule="auto"/>
        <w:jc w:val="both"/>
        <w:rPr>
          <w:rFonts w:ascii="Arial" w:eastAsia="Arial" w:hAnsi="Arial" w:cs="Arial"/>
          <w:color w:val="00FF00"/>
          <w:sz w:val="24"/>
          <w:szCs w:val="24"/>
        </w:rPr>
      </w:pPr>
      <w:r>
        <w:rPr>
          <w:rFonts w:ascii="Arial" w:eastAsia="Arial" w:hAnsi="Arial" w:cs="Arial"/>
          <w:sz w:val="24"/>
          <w:szCs w:val="24"/>
        </w:rPr>
        <w:t>- Aportar elementos para la discusión sobre el proceso de laicización del Estado, tanto a nivel nacional como provin</w:t>
      </w:r>
      <w:r>
        <w:rPr>
          <w:rFonts w:ascii="Arial" w:eastAsia="Arial" w:hAnsi="Arial" w:cs="Arial"/>
          <w:sz w:val="24"/>
          <w:szCs w:val="24"/>
        </w:rPr>
        <w:t>cial a fines del siglo XIX.</w:t>
      </w:r>
    </w:p>
    <w:p w:rsidR="00310392" w:rsidRDefault="00310392">
      <w:pPr>
        <w:pBdr>
          <w:top w:val="nil"/>
          <w:left w:val="nil"/>
          <w:bottom w:val="nil"/>
          <w:right w:val="nil"/>
          <w:between w:val="nil"/>
        </w:pBdr>
        <w:spacing w:after="0" w:line="240" w:lineRule="auto"/>
        <w:jc w:val="both"/>
        <w:rPr>
          <w:rFonts w:ascii="Arial" w:eastAsia="Arial" w:hAnsi="Arial" w:cs="Arial"/>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Hipótesis</w:t>
      </w:r>
    </w:p>
    <w:p w:rsidR="00310392" w:rsidRDefault="00310392">
      <w:pPr>
        <w:pBdr>
          <w:top w:val="nil"/>
          <w:left w:val="nil"/>
          <w:bottom w:val="nil"/>
          <w:right w:val="nil"/>
          <w:between w:val="nil"/>
        </w:pBdr>
        <w:spacing w:after="0" w:line="240" w:lineRule="auto"/>
        <w:jc w:val="both"/>
        <w:rPr>
          <w:rFonts w:ascii="Arial" w:eastAsia="Arial" w:hAnsi="Arial" w:cs="Arial"/>
          <w:b/>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El estudio de la vida cotidiana en los conventos dominicanos pone de manifiesto</w:t>
      </w:r>
      <w:r>
        <w:rPr>
          <w:rFonts w:ascii="Arial" w:eastAsia="Arial" w:hAnsi="Arial" w:cs="Arial"/>
          <w:sz w:val="24"/>
          <w:szCs w:val="24"/>
        </w:rPr>
        <w:t xml:space="preserve"> las representaciones sociales de los frailes, su comprensión del mundo, la iglesia la sociedad, como así también su red de relaciones de amistad y su ingerencia en la vida social y política de la provincia.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Los itinerarios formativos  de  los frailes d</w:t>
      </w:r>
      <w:r>
        <w:rPr>
          <w:rFonts w:ascii="Arial" w:eastAsia="Arial" w:hAnsi="Arial" w:cs="Arial"/>
          <w:sz w:val="24"/>
          <w:szCs w:val="24"/>
        </w:rPr>
        <w:t>el convento de Tucumán dan cuenta del aporte intelectual y cultural en general que realizaron no solo al interior de la Orden sino en la sociedad local.</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La Orden Dominicana en Francia vivió un fuerte proceso de restauración pos revolucionaria, Fr. A.M. B</w:t>
      </w:r>
      <w:r>
        <w:rPr>
          <w:rFonts w:ascii="Arial" w:eastAsia="Arial" w:hAnsi="Arial" w:cs="Arial"/>
          <w:sz w:val="24"/>
          <w:szCs w:val="24"/>
        </w:rPr>
        <w:t>oisdron se formó en ese contexto de tensión entre la tradición medieval que se buscaba restaurar y el ímpetu de Lacordaire de adaptación al mundo contemporáneo.</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El proceso de reconstrucción o construcción institucional de la Iglesia durante la segunda mi</w:t>
      </w:r>
      <w:r>
        <w:rPr>
          <w:rFonts w:ascii="Arial" w:eastAsia="Arial" w:hAnsi="Arial" w:cs="Arial"/>
          <w:sz w:val="24"/>
          <w:szCs w:val="24"/>
        </w:rPr>
        <w:t xml:space="preserve">tad del siglo XIX no puede entenderse sin entrar en relación con la paralela construcción de las estructuras estatales, tanto a nivel nacional como provincial.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La naturaleza de las relaciones entre la Iglesia católica y las instituciones civiles provinc</w:t>
      </w:r>
      <w:r>
        <w:rPr>
          <w:rFonts w:ascii="Arial" w:eastAsia="Arial" w:hAnsi="Arial" w:cs="Arial"/>
          <w:sz w:val="24"/>
          <w:szCs w:val="24"/>
        </w:rPr>
        <w:t xml:space="preserve">iales y nacionales deben ser comprendidas teniendo en cuenta la incidencia de otro actor en estos procesos: Roma. </w:t>
      </w: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i/>
          <w:color w:val="000000"/>
          <w:sz w:val="24"/>
          <w:szCs w:val="24"/>
        </w:rPr>
      </w:pPr>
      <w:r>
        <w:rPr>
          <w:rFonts w:ascii="Arial" w:eastAsia="Arial" w:hAnsi="Arial" w:cs="Arial"/>
          <w:b/>
          <w:i/>
          <w:color w:val="000000"/>
          <w:sz w:val="24"/>
          <w:szCs w:val="24"/>
        </w:rPr>
        <w:t>El siglo XX</w:t>
      </w:r>
    </w:p>
    <w:p w:rsidR="00310392" w:rsidRDefault="00310392">
      <w:pPr>
        <w:pBdr>
          <w:top w:val="nil"/>
          <w:left w:val="nil"/>
          <w:bottom w:val="nil"/>
          <w:right w:val="nil"/>
          <w:between w:val="nil"/>
        </w:pBdr>
        <w:spacing w:after="0" w:line="240" w:lineRule="auto"/>
        <w:jc w:val="both"/>
        <w:rPr>
          <w:rFonts w:ascii="Arial" w:eastAsia="Arial" w:hAnsi="Arial" w:cs="Arial"/>
          <w:b/>
          <w:color w:val="00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Objetivos específicos</w:t>
      </w:r>
    </w:p>
    <w:p w:rsidR="00310392" w:rsidRDefault="00310392">
      <w:pPr>
        <w:pBdr>
          <w:top w:val="nil"/>
          <w:left w:val="nil"/>
          <w:bottom w:val="nil"/>
          <w:right w:val="nil"/>
          <w:between w:val="nil"/>
        </w:pBdr>
        <w:spacing w:after="0" w:line="240" w:lineRule="auto"/>
        <w:jc w:val="both"/>
        <w:rPr>
          <w:rFonts w:ascii="Arial" w:eastAsia="Arial" w:hAnsi="Arial" w:cs="Arial"/>
          <w:b/>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Reconstruir el proceso de fundaciones  de las dominicas de Tucumán en (Hersilia) Santa Fe y Haedo (Bue</w:t>
      </w:r>
      <w:r>
        <w:rPr>
          <w:rFonts w:ascii="Arial" w:eastAsia="Arial" w:hAnsi="Arial" w:cs="Arial"/>
          <w:sz w:val="24"/>
          <w:szCs w:val="24"/>
        </w:rPr>
        <w:t>nos Aires).</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-Indagar en las representaciones sociales sobre la vida religiosa femenina dominicana en las provincias (Hersilia) Santa Fe y (Haedo) Buenos Aires.</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Continuar con los estudios de las</w:t>
      </w:r>
      <w:r>
        <w:rPr>
          <w:rFonts w:ascii="Arial" w:eastAsia="Arial" w:hAnsi="Arial" w:cs="Arial"/>
          <w:sz w:val="24"/>
          <w:szCs w:val="24"/>
        </w:rPr>
        <w:t xml:space="preserve"> nuevas sensibilidades estéticas que emergen en </w:t>
      </w:r>
      <w:r>
        <w:rPr>
          <w:rFonts w:ascii="Arial" w:eastAsia="Arial" w:hAnsi="Arial" w:cs="Arial"/>
          <w:sz w:val="24"/>
          <w:szCs w:val="24"/>
        </w:rPr>
        <w:t>Tucumán</w:t>
      </w:r>
      <w:r>
        <w:rPr>
          <w:rFonts w:ascii="Arial" w:eastAsia="Arial" w:hAnsi="Arial" w:cs="Arial"/>
          <w:sz w:val="24"/>
          <w:szCs w:val="24"/>
        </w:rPr>
        <w:t xml:space="preserve"> en las primeras décadas del siglo XX y la creación de instituciones que profesionalizaron el campo del arte.</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Analizar la producción de artistas que circularon dentro y fuera del ámbito académico y que utilizaron el arte para expresar su propia vivencia </w:t>
      </w:r>
      <w:r>
        <w:rPr>
          <w:rFonts w:ascii="Arial" w:eastAsia="Arial" w:hAnsi="Arial" w:cs="Arial"/>
          <w:sz w:val="24"/>
          <w:szCs w:val="24"/>
        </w:rPr>
        <w:t>espiritual</w:t>
      </w:r>
      <w:r>
        <w:rPr>
          <w:rFonts w:ascii="Arial" w:eastAsia="Arial" w:hAnsi="Arial" w:cs="Arial"/>
          <w:sz w:val="24"/>
          <w:szCs w:val="24"/>
        </w:rPr>
        <w:t>.</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Indagar en el discurso sobre la imagen de mujer durante la década de 1930 en la revista dominicana ¨El Domingo¨.</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Reconstruir y analizar la trayectoria de una congregación religiosa femenina: las Franciscanas Misioneras de María (1940-1970)</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-Indagar en la biografía de Arturo Ponsati y en el contexto socio cultural de Tucumán a mediados del Siglo XX.</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xml:space="preserve">-Reconstruir sus líneas de pensamiento a partir de su archivo privado y fuentes orales. </w:t>
      </w: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Hipótesis</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El proceso de apertura de nuevas casas filiales de las dominicas de Tucumán en Santa Fe y Buenos Aires permitió fortalecer el compromiso educativo católico en un contexto de construcción de un modelo de nación católica.</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highlight w:val="yellow"/>
        </w:rPr>
      </w:pPr>
      <w:r>
        <w:rPr>
          <w:rFonts w:ascii="Arial" w:eastAsia="Arial" w:hAnsi="Arial" w:cs="Arial"/>
          <w:sz w:val="24"/>
          <w:szCs w:val="24"/>
        </w:rPr>
        <w:lastRenderedPageBreak/>
        <w:t>- La influencia de instituciones v</w:t>
      </w:r>
      <w:r>
        <w:rPr>
          <w:rFonts w:ascii="Arial" w:eastAsia="Arial" w:hAnsi="Arial" w:cs="Arial"/>
          <w:sz w:val="24"/>
          <w:szCs w:val="24"/>
        </w:rPr>
        <w:t>inculadas a la formación artística en Tucumán y la presencia de artistas extranjeros y locales, desarrollaron el campo estético en esta provincia y a nivel regional; lo que se plasmó con una mirada más amplia de las transformaciones del campo religioso y l</w:t>
      </w:r>
      <w:r>
        <w:rPr>
          <w:rFonts w:ascii="Arial" w:eastAsia="Arial" w:hAnsi="Arial" w:cs="Arial"/>
          <w:sz w:val="24"/>
          <w:szCs w:val="24"/>
        </w:rPr>
        <w:t>as expresiones estéticas de lo sagrado.</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El discurso sobre la imagen de la mujer y su rol en la sociedad fue variando, acompañando los cambios políticos y socioculturales. En la década de 1930 esa imagen se encuadra en una Argentina marcada por el naciona</w:t>
      </w:r>
      <w:r>
        <w:rPr>
          <w:rFonts w:ascii="Arial" w:eastAsia="Arial" w:hAnsi="Arial" w:cs="Arial"/>
          <w:sz w:val="24"/>
          <w:szCs w:val="24"/>
        </w:rPr>
        <w:t>lismo, el militarismo y el catolicismo.</w:t>
      </w: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A partir de los cambios Conciliares, la Congregación de las Franciscanas Misioneras de María fue evidenciando notables transformaciones que impactaron tanto en su forma de vida conventual  como en sus proyectos pas</w:t>
      </w:r>
      <w:r>
        <w:rPr>
          <w:rFonts w:ascii="Arial" w:eastAsia="Arial" w:hAnsi="Arial" w:cs="Arial"/>
          <w:sz w:val="24"/>
          <w:szCs w:val="24"/>
        </w:rPr>
        <w:t>torales.</w:t>
      </w: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-Arturo Ponsati como referente intelectual y político, buscó crear un espacio de participación política para el laicado católico.</w:t>
      </w:r>
    </w:p>
    <w:p w:rsidR="00310392" w:rsidRDefault="00523CCD">
      <w:pPr>
        <w:spacing w:before="240" w:after="240" w:line="240" w:lineRule="auto"/>
        <w:jc w:val="both"/>
        <w:rPr>
          <w:rFonts w:ascii="Arial" w:eastAsia="Arial" w:hAnsi="Arial" w:cs="Arial"/>
          <w:sz w:val="24"/>
          <w:szCs w:val="24"/>
        </w:rPr>
      </w:pPr>
      <w:r>
        <w:rPr>
          <w:rFonts w:ascii="Arial" w:eastAsia="Arial" w:hAnsi="Arial" w:cs="Arial"/>
          <w:sz w:val="24"/>
          <w:szCs w:val="24"/>
        </w:rPr>
        <w:t xml:space="preserve">-El pensamiento de Arturo Ponsati se nutre de las ideas de Jacques Maritain y Emmanuel Mounier, acentuando la figura </w:t>
      </w:r>
      <w:r>
        <w:rPr>
          <w:rFonts w:ascii="Arial" w:eastAsia="Arial" w:hAnsi="Arial" w:cs="Arial"/>
          <w:sz w:val="24"/>
          <w:szCs w:val="24"/>
        </w:rPr>
        <w:t xml:space="preserve">del laico comprometido con la política. </w:t>
      </w:r>
    </w:p>
    <w:p w:rsidR="00310392" w:rsidRDefault="00310392">
      <w:pPr>
        <w:pBdr>
          <w:top w:val="nil"/>
          <w:left w:val="nil"/>
          <w:bottom w:val="nil"/>
          <w:right w:val="nil"/>
          <w:between w:val="nil"/>
        </w:pBdr>
        <w:spacing w:after="0" w:line="240" w:lineRule="auto"/>
        <w:jc w:val="both"/>
        <w:rPr>
          <w:rFonts w:ascii="Arial" w:eastAsia="Arial" w:hAnsi="Arial" w:cs="Arial"/>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RESULTADOS PRELIMINARES Y APORTES DEL GRUPO AL ESTUDIO DEL</w:t>
      </w: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PROBLEMA EN CUESTIÓN. </w:t>
      </w:r>
      <w:r>
        <w:rPr>
          <w:rFonts w:ascii="Arial" w:eastAsia="Arial" w:hAnsi="Arial" w:cs="Arial"/>
          <w:b/>
          <w:sz w:val="24"/>
          <w:szCs w:val="24"/>
        </w:rPr>
        <w:t>IMPACTO.</w:t>
      </w:r>
    </w:p>
    <w:p w:rsidR="00310392" w:rsidRDefault="00310392">
      <w:pPr>
        <w:pBdr>
          <w:top w:val="nil"/>
          <w:left w:val="nil"/>
          <w:bottom w:val="nil"/>
          <w:right w:val="nil"/>
          <w:between w:val="nil"/>
        </w:pBdr>
        <w:spacing w:after="0" w:line="240" w:lineRule="auto"/>
        <w:jc w:val="both"/>
        <w:rPr>
          <w:rFonts w:ascii="Arial" w:eastAsia="Arial" w:hAnsi="Arial" w:cs="Arial"/>
          <w:b/>
          <w:color w:val="000000"/>
          <w:sz w:val="24"/>
          <w:szCs w:val="24"/>
        </w:rPr>
      </w:pPr>
    </w:p>
    <w:p w:rsidR="00310392" w:rsidRDefault="00523CCD">
      <w:pPr>
        <w:spacing w:after="0" w:line="240" w:lineRule="auto"/>
        <w:jc w:val="both"/>
        <w:rPr>
          <w:rFonts w:ascii="Arial" w:eastAsia="Arial" w:hAnsi="Arial" w:cs="Arial"/>
          <w:sz w:val="24"/>
          <w:szCs w:val="24"/>
        </w:rPr>
      </w:pPr>
      <w:r>
        <w:rPr>
          <w:rFonts w:ascii="Arial" w:eastAsia="Arial" w:hAnsi="Arial" w:cs="Arial"/>
          <w:sz w:val="24"/>
          <w:szCs w:val="24"/>
        </w:rPr>
        <w:t xml:space="preserve">Los estudios sobre historia religiosa han dado un salto cualitativo en Argentina en las últimas décadas y en Tucumán, el  Instituto </w:t>
      </w:r>
      <w:r>
        <w:rPr>
          <w:rFonts w:ascii="Arial" w:eastAsia="Arial" w:hAnsi="Arial" w:cs="Arial"/>
          <w:sz w:val="24"/>
          <w:szCs w:val="24"/>
          <w:highlight w:val="white"/>
        </w:rPr>
        <w:t>de Investigaciones Históricas Historia “Prof. Manuel García Soriano” de la UNSTA,</w:t>
      </w:r>
      <w:r>
        <w:rPr>
          <w:rFonts w:ascii="Arial" w:eastAsia="Arial" w:hAnsi="Arial" w:cs="Arial"/>
          <w:sz w:val="24"/>
          <w:szCs w:val="24"/>
        </w:rPr>
        <w:t xml:space="preserve"> se ha convertido en un referente en la reg</w:t>
      </w:r>
      <w:r>
        <w:rPr>
          <w:rFonts w:ascii="Arial" w:eastAsia="Arial" w:hAnsi="Arial" w:cs="Arial"/>
          <w:sz w:val="24"/>
          <w:szCs w:val="24"/>
        </w:rPr>
        <w:t>ión, promoviendo nuevas líneas de investigación, organizando diferentes eventos académicos para el debate, publicando los resultados de la investigación en libros y revistas con referato y sosteniendo desde hace 10 años el intercambio de estudiosos a travé</w:t>
      </w:r>
      <w:r>
        <w:rPr>
          <w:rFonts w:ascii="Arial" w:eastAsia="Arial" w:hAnsi="Arial" w:cs="Arial"/>
          <w:sz w:val="24"/>
          <w:szCs w:val="24"/>
        </w:rPr>
        <w:t xml:space="preserve">s de </w:t>
      </w:r>
      <w:r>
        <w:rPr>
          <w:rFonts w:ascii="Arial" w:eastAsia="Arial" w:hAnsi="Arial" w:cs="Arial"/>
          <w:i/>
          <w:sz w:val="24"/>
          <w:szCs w:val="24"/>
        </w:rPr>
        <w:t>Itinerantes, Revista de Historia y Religión,</w:t>
      </w:r>
      <w:r>
        <w:rPr>
          <w:rFonts w:ascii="Arial" w:eastAsia="Arial" w:hAnsi="Arial" w:cs="Arial"/>
          <w:sz w:val="24"/>
          <w:szCs w:val="24"/>
        </w:rPr>
        <w:t xml:space="preserve"> que es única en su género en Argentina. </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E</w:t>
      </w:r>
      <w:r>
        <w:rPr>
          <w:rFonts w:ascii="Arial" w:eastAsia="Arial" w:hAnsi="Arial" w:cs="Arial"/>
          <w:sz w:val="24"/>
          <w:szCs w:val="24"/>
        </w:rPr>
        <w:t xml:space="preserve">ste equipo de trabajo -que se fue modificando a lo largo de estos años con nuevas </w:t>
      </w:r>
      <w:r>
        <w:rPr>
          <w:rFonts w:ascii="Arial" w:eastAsia="Arial" w:hAnsi="Arial" w:cs="Arial"/>
          <w:sz w:val="24"/>
          <w:szCs w:val="24"/>
        </w:rPr>
        <w:t>incorporaciones-</w:t>
      </w:r>
      <w:r>
        <w:rPr>
          <w:rFonts w:ascii="Arial" w:eastAsia="Arial" w:hAnsi="Arial" w:cs="Arial"/>
          <w:sz w:val="24"/>
          <w:szCs w:val="24"/>
        </w:rPr>
        <w:t xml:space="preserve"> </w:t>
      </w:r>
      <w:r>
        <w:rPr>
          <w:rFonts w:ascii="Arial" w:eastAsia="Arial" w:hAnsi="Arial" w:cs="Arial"/>
          <w:sz w:val="24"/>
          <w:szCs w:val="24"/>
        </w:rPr>
        <w:t>realiza tareas de</w:t>
      </w:r>
      <w:r>
        <w:rPr>
          <w:rFonts w:ascii="Arial" w:eastAsia="Arial" w:hAnsi="Arial" w:cs="Arial"/>
          <w:sz w:val="24"/>
          <w:szCs w:val="24"/>
        </w:rPr>
        <w:t xml:space="preserve"> investigación desde </w:t>
      </w:r>
      <w:r>
        <w:rPr>
          <w:rFonts w:ascii="Arial" w:eastAsia="Arial" w:hAnsi="Arial" w:cs="Arial"/>
          <w:sz w:val="24"/>
          <w:szCs w:val="24"/>
        </w:rPr>
        <w:t>2003</w:t>
      </w:r>
      <w:r>
        <w:rPr>
          <w:rFonts w:ascii="Arial" w:eastAsia="Arial" w:hAnsi="Arial" w:cs="Arial"/>
          <w:sz w:val="24"/>
          <w:szCs w:val="24"/>
        </w:rPr>
        <w:t xml:space="preserve">, habiendo participado </w:t>
      </w:r>
      <w:r>
        <w:rPr>
          <w:rFonts w:ascii="Arial" w:eastAsia="Arial" w:hAnsi="Arial" w:cs="Arial"/>
          <w:sz w:val="24"/>
          <w:szCs w:val="24"/>
        </w:rPr>
        <w:t>en las convocatorias de proyectos de investigación de la Universidad del Norte Santo Tomás de Aquino de 2005, 2007, 2009, 2011</w:t>
      </w:r>
      <w:r>
        <w:rPr>
          <w:rFonts w:ascii="Arial" w:eastAsia="Arial" w:hAnsi="Arial" w:cs="Arial"/>
          <w:sz w:val="24"/>
          <w:szCs w:val="24"/>
        </w:rPr>
        <w:t>,</w:t>
      </w:r>
      <w:r>
        <w:rPr>
          <w:rFonts w:ascii="Arial" w:eastAsia="Arial" w:hAnsi="Arial" w:cs="Arial"/>
          <w:sz w:val="24"/>
          <w:szCs w:val="24"/>
        </w:rPr>
        <w:t xml:space="preserve"> 2014</w:t>
      </w:r>
      <w:r>
        <w:rPr>
          <w:rFonts w:ascii="Arial" w:eastAsia="Arial" w:hAnsi="Arial" w:cs="Arial"/>
          <w:sz w:val="24"/>
          <w:szCs w:val="24"/>
        </w:rPr>
        <w:t xml:space="preserve"> y 2018.</w:t>
      </w:r>
      <w:r>
        <w:rPr>
          <w:rFonts w:ascii="Arial" w:eastAsia="Arial" w:hAnsi="Arial" w:cs="Arial"/>
          <w:sz w:val="24"/>
          <w:szCs w:val="24"/>
        </w:rPr>
        <w:t xml:space="preserve"> A p</w:t>
      </w:r>
      <w:r>
        <w:rPr>
          <w:rFonts w:ascii="Arial" w:eastAsia="Arial" w:hAnsi="Arial" w:cs="Arial"/>
          <w:color w:val="000000"/>
          <w:sz w:val="24"/>
          <w:szCs w:val="24"/>
        </w:rPr>
        <w:t>artir de estas investigaciones se pudo avanzar considerablemente en la profundización de los marcos teóricos ref</w:t>
      </w:r>
      <w:r>
        <w:rPr>
          <w:rFonts w:ascii="Arial" w:eastAsia="Arial" w:hAnsi="Arial" w:cs="Arial"/>
          <w:color w:val="000000"/>
          <w:sz w:val="24"/>
          <w:szCs w:val="24"/>
        </w:rPr>
        <w:t xml:space="preserve">eridos al hecho religioso, al conocimiento de la historia de la Iglesia, la religiosidad local y la Orden Dominicana, el patrimonio artístico religioso y documental eclesial. </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También este equipo ha avanzado en la digitalización de documentación que contri</w:t>
      </w:r>
      <w:r>
        <w:rPr>
          <w:rFonts w:ascii="Arial" w:eastAsia="Arial" w:hAnsi="Arial" w:cs="Arial"/>
          <w:color w:val="000000"/>
          <w:sz w:val="24"/>
          <w:szCs w:val="24"/>
        </w:rPr>
        <w:t xml:space="preserve">buye a la comprensión de la historia de la Iglesia y de la Orden Dominicana que se encuentra en repositorios de diversas provincias del país y Europa.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Se participó </w:t>
      </w:r>
      <w:r>
        <w:rPr>
          <w:rFonts w:ascii="Arial" w:eastAsia="Arial" w:hAnsi="Arial" w:cs="Arial"/>
          <w:color w:val="000000"/>
          <w:sz w:val="24"/>
          <w:szCs w:val="24"/>
        </w:rPr>
        <w:t>activamente en la convocatoria de las cinco Jornadas de Historia de la Iglesia en el NOA (S</w:t>
      </w:r>
      <w:r>
        <w:rPr>
          <w:rFonts w:ascii="Arial" w:eastAsia="Arial" w:hAnsi="Arial" w:cs="Arial"/>
          <w:color w:val="000000"/>
          <w:sz w:val="24"/>
          <w:szCs w:val="24"/>
        </w:rPr>
        <w:t xml:space="preserve">alta 2006, Tucumán 2008, Jujuy 2010, Cafayate 2013, Santiago del Estero, 2016) </w:t>
      </w:r>
      <w:r>
        <w:rPr>
          <w:rFonts w:ascii="Arial" w:eastAsia="Arial" w:hAnsi="Arial" w:cs="Arial"/>
          <w:sz w:val="24"/>
          <w:szCs w:val="24"/>
        </w:rPr>
        <w:t>y actual</w:t>
      </w:r>
      <w:r>
        <w:rPr>
          <w:rFonts w:ascii="Arial" w:eastAsia="Arial" w:hAnsi="Arial" w:cs="Arial"/>
          <w:sz w:val="24"/>
          <w:szCs w:val="24"/>
        </w:rPr>
        <w:t xml:space="preserve">mente se encuentra convocando las 6º en La Rioja (2020). </w:t>
      </w:r>
      <w:r>
        <w:rPr>
          <w:rFonts w:ascii="Arial" w:eastAsia="Arial" w:hAnsi="Arial" w:cs="Arial"/>
          <w:sz w:val="24"/>
          <w:szCs w:val="24"/>
        </w:rPr>
        <w:t xml:space="preserve"> Tambi</w:t>
      </w:r>
      <w:r>
        <w:rPr>
          <w:rFonts w:ascii="Arial" w:eastAsia="Arial" w:hAnsi="Arial" w:cs="Arial"/>
          <w:sz w:val="24"/>
          <w:szCs w:val="24"/>
        </w:rPr>
        <w:t xml:space="preserve">én ha organizado </w:t>
      </w:r>
      <w:r>
        <w:rPr>
          <w:rFonts w:ascii="Arial" w:eastAsia="Arial" w:hAnsi="Arial" w:cs="Arial"/>
          <w:sz w:val="24"/>
          <w:szCs w:val="24"/>
        </w:rPr>
        <w:t xml:space="preserve">el 1º Simposio de la Red de Investigadores en Historia de la Iglesia y la Religiosidad en el NOA (San Pedro de Colalao, 2011), los Coloquios y Jornadas de historia de la Orden Dominicana (2003, 2005, 2009, </w:t>
      </w:r>
      <w:r>
        <w:rPr>
          <w:rFonts w:ascii="Arial" w:eastAsia="Arial" w:hAnsi="Arial" w:cs="Arial"/>
          <w:sz w:val="24"/>
          <w:szCs w:val="24"/>
        </w:rPr>
        <w:lastRenderedPageBreak/>
        <w:t>2010, 2012; 2</w:t>
      </w:r>
      <w:r>
        <w:rPr>
          <w:rFonts w:ascii="Arial" w:eastAsia="Arial" w:hAnsi="Arial" w:cs="Arial"/>
          <w:sz w:val="24"/>
          <w:szCs w:val="24"/>
        </w:rPr>
        <w:t xml:space="preserve">018) Actualmente se está organizando </w:t>
      </w:r>
      <w:r>
        <w:rPr>
          <w:rFonts w:ascii="Arial" w:eastAsia="Arial" w:hAnsi="Arial" w:cs="Arial"/>
          <w:sz w:val="24"/>
          <w:szCs w:val="24"/>
        </w:rPr>
        <w:t>el 7º simposio de historia OP en mayo de 2020. Ha organizado</w:t>
      </w:r>
      <w:r>
        <w:rPr>
          <w:rFonts w:ascii="Arial" w:eastAsia="Arial" w:hAnsi="Arial" w:cs="Arial"/>
          <w:sz w:val="24"/>
          <w:szCs w:val="24"/>
        </w:rPr>
        <w:t xml:space="preserve"> el 1º Congreso de Historia de las Órdenes y Congregaciones religiosas (Tucumán, 2009)</w:t>
      </w:r>
      <w:r>
        <w:rPr>
          <w:rFonts w:ascii="Arial" w:eastAsia="Arial" w:hAnsi="Arial" w:cs="Arial"/>
          <w:sz w:val="24"/>
          <w:szCs w:val="24"/>
        </w:rPr>
        <w:t xml:space="preserve">. También participó como organizador </w:t>
      </w:r>
      <w:r>
        <w:rPr>
          <w:rFonts w:ascii="Arial" w:eastAsia="Arial" w:hAnsi="Arial" w:cs="Arial"/>
          <w:sz w:val="24"/>
          <w:szCs w:val="24"/>
        </w:rPr>
        <w:t xml:space="preserve"> en los </w:t>
      </w:r>
      <w:r>
        <w:rPr>
          <w:rFonts w:ascii="Arial" w:eastAsia="Arial" w:hAnsi="Arial" w:cs="Arial"/>
          <w:sz w:val="24"/>
          <w:szCs w:val="24"/>
        </w:rPr>
        <w:t>tres</w:t>
      </w:r>
      <w:r>
        <w:rPr>
          <w:rFonts w:ascii="Arial" w:eastAsia="Arial" w:hAnsi="Arial" w:cs="Arial"/>
          <w:sz w:val="24"/>
          <w:szCs w:val="24"/>
        </w:rPr>
        <w:t xml:space="preserve"> Congresos Internacionales de Historia de la Orden Dominicana</w:t>
      </w:r>
      <w:r>
        <w:rPr>
          <w:rFonts w:ascii="Arial" w:eastAsia="Arial" w:hAnsi="Arial" w:cs="Arial"/>
          <w:sz w:val="24"/>
          <w:szCs w:val="24"/>
        </w:rPr>
        <w:t xml:space="preserve"> (México, 2013</w:t>
      </w:r>
      <w:r>
        <w:rPr>
          <w:rFonts w:ascii="Arial" w:eastAsia="Arial" w:hAnsi="Arial" w:cs="Arial"/>
          <w:sz w:val="24"/>
          <w:szCs w:val="24"/>
        </w:rPr>
        <w:t xml:space="preserve">; </w:t>
      </w:r>
      <w:r>
        <w:rPr>
          <w:rFonts w:ascii="Arial" w:eastAsia="Arial" w:hAnsi="Arial" w:cs="Arial"/>
          <w:sz w:val="24"/>
          <w:szCs w:val="24"/>
        </w:rPr>
        <w:t xml:space="preserve">Colombia, 2016 y Providence, 2019) y </w:t>
      </w:r>
      <w:r>
        <w:rPr>
          <w:rFonts w:ascii="Arial" w:eastAsia="Arial" w:hAnsi="Arial" w:cs="Arial"/>
          <w:sz w:val="24"/>
          <w:szCs w:val="24"/>
        </w:rPr>
        <w:t>formó parte de</w:t>
      </w:r>
      <w:r>
        <w:rPr>
          <w:rFonts w:ascii="Arial" w:eastAsia="Arial" w:hAnsi="Arial" w:cs="Arial"/>
          <w:sz w:val="24"/>
          <w:szCs w:val="24"/>
        </w:rPr>
        <w:t xml:space="preserve"> </w:t>
      </w:r>
      <w:r>
        <w:rPr>
          <w:rFonts w:ascii="Arial" w:eastAsia="Arial" w:hAnsi="Arial" w:cs="Arial"/>
          <w:sz w:val="24"/>
          <w:szCs w:val="24"/>
        </w:rPr>
        <w:t>los</w:t>
      </w:r>
      <w:r>
        <w:rPr>
          <w:rFonts w:ascii="Arial" w:eastAsia="Arial" w:hAnsi="Arial" w:cs="Arial"/>
          <w:sz w:val="24"/>
          <w:szCs w:val="24"/>
        </w:rPr>
        <w:t xml:space="preserve"> PredicArte (México 2008; Perú 2011).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Ha organizado y coordinado 4 jornadas de historia de la Diócesis de la Santísima Concepción (2013; 2015; 2017; 2019) y las 1º Jornadas de historia</w:t>
      </w:r>
      <w:r>
        <w:rPr>
          <w:rFonts w:ascii="Arial" w:eastAsia="Arial" w:hAnsi="Arial" w:cs="Arial"/>
          <w:sz w:val="24"/>
          <w:szCs w:val="24"/>
        </w:rPr>
        <w:t xml:space="preserve"> de la Arquidiócesis de Tucumán (2019). </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Además participaron y organizaron varios seminarios internos de discusión. Estos espacios fueron consolidando líneas de abordaje teórico que fortalecieron el intercambio al interior del grupo y con otros de la reg</w:t>
      </w:r>
      <w:r>
        <w:rPr>
          <w:rFonts w:ascii="Arial" w:eastAsia="Arial" w:hAnsi="Arial" w:cs="Arial"/>
          <w:sz w:val="24"/>
          <w:szCs w:val="24"/>
        </w:rPr>
        <w:t>ió</w:t>
      </w:r>
      <w:r>
        <w:rPr>
          <w:rFonts w:ascii="Arial" w:eastAsia="Arial" w:hAnsi="Arial" w:cs="Arial"/>
          <w:sz w:val="24"/>
          <w:szCs w:val="24"/>
        </w:rPr>
        <w:t>n</w:t>
      </w:r>
      <w:r>
        <w:rPr>
          <w:rFonts w:ascii="Arial" w:eastAsia="Arial" w:hAnsi="Arial" w:cs="Arial"/>
          <w:color w:val="000000"/>
          <w:sz w:val="24"/>
          <w:szCs w:val="24"/>
        </w:rPr>
        <w:t xml:space="preserve"> y una permanente actualización sobre los progresos de las investigaciones en el país, en el resto de América Latina y en Europa. Por otro lado, cada integrante realizó avances parciales en los años anteriores que se vieron plasmados en las publicaciones </w:t>
      </w:r>
      <w:r>
        <w:rPr>
          <w:rFonts w:ascii="Arial" w:eastAsia="Arial" w:hAnsi="Arial" w:cs="Arial"/>
          <w:color w:val="000000"/>
          <w:sz w:val="24"/>
          <w:szCs w:val="24"/>
        </w:rPr>
        <w:t>individuales y grupales y en presentaciones en reuniones científicas que se detallan en el SIGEVA, de cada uno de los miembros del proyecto.</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sz w:val="24"/>
          <w:szCs w:val="24"/>
        </w:rPr>
        <w:t xml:space="preserve">Además, </w:t>
      </w:r>
      <w:r>
        <w:rPr>
          <w:rFonts w:ascii="Arial" w:eastAsia="Arial" w:hAnsi="Arial" w:cs="Arial"/>
          <w:sz w:val="24"/>
          <w:szCs w:val="24"/>
        </w:rPr>
        <w:t>4</w:t>
      </w:r>
      <w:r>
        <w:rPr>
          <w:rFonts w:ascii="Arial" w:eastAsia="Arial" w:hAnsi="Arial" w:cs="Arial"/>
          <w:sz w:val="24"/>
          <w:szCs w:val="24"/>
        </w:rPr>
        <w:t xml:space="preserve"> integrantes del proyecto han concluido </w:t>
      </w:r>
      <w:r>
        <w:rPr>
          <w:rFonts w:ascii="Arial" w:eastAsia="Arial" w:hAnsi="Arial" w:cs="Arial"/>
          <w:sz w:val="24"/>
          <w:szCs w:val="24"/>
        </w:rPr>
        <w:t>sus</w:t>
      </w:r>
      <w:r>
        <w:rPr>
          <w:rFonts w:ascii="Arial" w:eastAsia="Arial" w:hAnsi="Arial" w:cs="Arial"/>
          <w:sz w:val="24"/>
          <w:szCs w:val="24"/>
        </w:rPr>
        <w:t xml:space="preserve"> tesis doctorales (2007, 2012</w:t>
      </w:r>
      <w:r>
        <w:rPr>
          <w:rFonts w:ascii="Arial" w:eastAsia="Arial" w:hAnsi="Arial" w:cs="Arial"/>
          <w:sz w:val="24"/>
          <w:szCs w:val="24"/>
        </w:rPr>
        <w:t>,</w:t>
      </w:r>
      <w:r>
        <w:rPr>
          <w:rFonts w:ascii="Arial" w:eastAsia="Arial" w:hAnsi="Arial" w:cs="Arial"/>
          <w:sz w:val="24"/>
          <w:szCs w:val="24"/>
        </w:rPr>
        <w:t xml:space="preserve"> 2016 y 2019). El proyecto cuenta</w:t>
      </w:r>
      <w:r>
        <w:rPr>
          <w:rFonts w:ascii="Arial" w:eastAsia="Arial" w:hAnsi="Arial" w:cs="Arial"/>
          <w:sz w:val="24"/>
          <w:szCs w:val="24"/>
        </w:rPr>
        <w:t xml:space="preserve"> con </w:t>
      </w:r>
      <w:r>
        <w:rPr>
          <w:rFonts w:ascii="Arial" w:eastAsia="Arial" w:hAnsi="Arial" w:cs="Arial"/>
          <w:sz w:val="24"/>
          <w:szCs w:val="24"/>
          <w:highlight w:val="white"/>
        </w:rPr>
        <w:t>4</w:t>
      </w:r>
      <w:r>
        <w:rPr>
          <w:rFonts w:ascii="Arial" w:eastAsia="Arial" w:hAnsi="Arial" w:cs="Arial"/>
          <w:sz w:val="24"/>
          <w:szCs w:val="24"/>
          <w:highlight w:val="white"/>
        </w:rPr>
        <w:t xml:space="preserve"> doctores y </w:t>
      </w:r>
      <w:r>
        <w:rPr>
          <w:rFonts w:ascii="Arial" w:eastAsia="Arial" w:hAnsi="Arial" w:cs="Arial"/>
          <w:sz w:val="24"/>
          <w:szCs w:val="24"/>
          <w:highlight w:val="white"/>
        </w:rPr>
        <w:t>3</w:t>
      </w:r>
      <w:r>
        <w:rPr>
          <w:rFonts w:ascii="Arial" w:eastAsia="Arial" w:hAnsi="Arial" w:cs="Arial"/>
          <w:sz w:val="24"/>
          <w:szCs w:val="24"/>
          <w:highlight w:val="white"/>
        </w:rPr>
        <w:t xml:space="preserve"> doctorandos, </w:t>
      </w:r>
      <w:r>
        <w:rPr>
          <w:rFonts w:ascii="Arial" w:eastAsia="Arial" w:hAnsi="Arial" w:cs="Arial"/>
          <w:sz w:val="24"/>
          <w:szCs w:val="24"/>
          <w:highlight w:val="white"/>
        </w:rPr>
        <w:t>a los que suma</w:t>
      </w:r>
      <w:r>
        <w:rPr>
          <w:rFonts w:ascii="Arial" w:eastAsia="Arial" w:hAnsi="Arial" w:cs="Arial"/>
          <w:sz w:val="24"/>
          <w:szCs w:val="24"/>
          <w:highlight w:val="white"/>
        </w:rPr>
        <w:t xml:space="preserve"> un licenciado en </w:t>
      </w:r>
      <w:r>
        <w:rPr>
          <w:rFonts w:ascii="Arial" w:eastAsia="Arial" w:hAnsi="Arial" w:cs="Arial"/>
          <w:sz w:val="24"/>
          <w:szCs w:val="24"/>
          <w:highlight w:val="white"/>
        </w:rPr>
        <w:t>ciencias políticas y una</w:t>
      </w:r>
      <w:r>
        <w:rPr>
          <w:rFonts w:ascii="Arial" w:eastAsia="Arial" w:hAnsi="Arial" w:cs="Arial"/>
          <w:sz w:val="24"/>
          <w:szCs w:val="24"/>
          <w:highlight w:val="white"/>
        </w:rPr>
        <w:t xml:space="preserve"> alumn</w:t>
      </w:r>
      <w:r>
        <w:rPr>
          <w:rFonts w:ascii="Arial" w:eastAsia="Arial" w:hAnsi="Arial" w:cs="Arial"/>
          <w:sz w:val="24"/>
          <w:szCs w:val="24"/>
          <w:highlight w:val="white"/>
        </w:rPr>
        <w:t>a</w:t>
      </w:r>
      <w:r>
        <w:rPr>
          <w:rFonts w:ascii="Arial" w:eastAsia="Arial" w:hAnsi="Arial" w:cs="Arial"/>
          <w:sz w:val="24"/>
          <w:szCs w:val="24"/>
          <w:highlight w:val="white"/>
        </w:rPr>
        <w:t xml:space="preserve"> de la misma carrera</w:t>
      </w:r>
      <w:r>
        <w:rPr>
          <w:rFonts w:ascii="Arial" w:eastAsia="Arial" w:hAnsi="Arial" w:cs="Arial"/>
          <w:sz w:val="24"/>
          <w:szCs w:val="24"/>
          <w:highlight w:val="white"/>
        </w:rPr>
        <w:t>.</w:t>
      </w:r>
    </w:p>
    <w:p w:rsidR="00310392" w:rsidRDefault="00310392">
      <w:pPr>
        <w:pBdr>
          <w:top w:val="nil"/>
          <w:left w:val="nil"/>
          <w:bottom w:val="nil"/>
          <w:right w:val="nil"/>
          <w:between w:val="nil"/>
        </w:pBdr>
        <w:spacing w:after="0" w:line="240" w:lineRule="auto"/>
        <w:jc w:val="both"/>
        <w:rPr>
          <w:rFonts w:ascii="Arial" w:eastAsia="Arial" w:hAnsi="Arial" w:cs="Arial"/>
          <w:sz w:val="24"/>
          <w:szCs w:val="24"/>
          <w:highlight w:val="white"/>
        </w:rPr>
      </w:pPr>
    </w:p>
    <w:p w:rsidR="00310392" w:rsidRDefault="00523CCD">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METODOLOGÍA DE TRABAJO</w:t>
      </w:r>
    </w:p>
    <w:p w:rsidR="00310392" w:rsidRDefault="00310392">
      <w:pPr>
        <w:pBdr>
          <w:top w:val="nil"/>
          <w:left w:val="nil"/>
          <w:bottom w:val="nil"/>
          <w:right w:val="nil"/>
          <w:between w:val="nil"/>
        </w:pBdr>
        <w:spacing w:after="0" w:line="240" w:lineRule="auto"/>
        <w:jc w:val="both"/>
        <w:rPr>
          <w:rFonts w:ascii="Arial" w:eastAsia="Arial" w:hAnsi="Arial" w:cs="Arial"/>
          <w:b/>
          <w:color w:val="00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investigación histórica combina métodos cuantitativos (elaboración de series, cuadros y gráficos) con metodología de índole cualitativa, proveniente de la historia política, social y cultural. Busca articular la información brindada por la elaboración d</w:t>
      </w:r>
      <w:r>
        <w:rPr>
          <w:rFonts w:ascii="Arial" w:eastAsia="Arial" w:hAnsi="Arial" w:cs="Arial"/>
          <w:color w:val="000000"/>
          <w:sz w:val="24"/>
          <w:szCs w:val="24"/>
        </w:rPr>
        <w:t xml:space="preserve">e series, cuadros y mapas con los aportes de marcos teóricos. En este proyecto se realizarán los siguientes pasos metodológicos: </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1- Relevamiento y fichado de la bibliografía pertinente sobre cada aspecto del tema a estudiar.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2- Análisis y selección de co</w:t>
      </w:r>
      <w:r>
        <w:rPr>
          <w:rFonts w:ascii="Arial" w:eastAsia="Arial" w:hAnsi="Arial" w:cs="Arial"/>
          <w:color w:val="000000"/>
          <w:sz w:val="24"/>
          <w:szCs w:val="24"/>
        </w:rPr>
        <w:t>nceptos que conformarán las perspectivas teóricas</w:t>
      </w:r>
      <w:r>
        <w:rPr>
          <w:rFonts w:ascii="Arial" w:eastAsia="Arial" w:hAnsi="Arial" w:cs="Arial"/>
          <w:sz w:val="24"/>
          <w:szCs w:val="24"/>
        </w:rPr>
        <w:t>.</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3- Selección, relevamiento, digitalización y análisis de las fuentes documentales y fotográficas. </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4- Trabajo de campo, relevamiento de artistas y obras en Tucumán. </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5- </w:t>
      </w:r>
      <w:r>
        <w:rPr>
          <w:rFonts w:ascii="Arial" w:eastAsia="Arial" w:hAnsi="Arial" w:cs="Arial"/>
          <w:color w:val="000000"/>
          <w:sz w:val="24"/>
          <w:szCs w:val="24"/>
        </w:rPr>
        <w:t>Entrevistas a protagonistas de los hechos que se estudian.</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6</w:t>
      </w:r>
      <w:r>
        <w:rPr>
          <w:rFonts w:ascii="Arial" w:eastAsia="Arial" w:hAnsi="Arial" w:cs="Arial"/>
          <w:color w:val="000000"/>
          <w:sz w:val="24"/>
          <w:szCs w:val="24"/>
        </w:rPr>
        <w:t xml:space="preserve">- Interpretación de los datos a la luz de las herramientas disponibles en la historia religiosa, la historia política, la historia de las ideas y la historia de la teología. Se apelará también al </w:t>
      </w:r>
      <w:r>
        <w:rPr>
          <w:rFonts w:ascii="Arial" w:eastAsia="Arial" w:hAnsi="Arial" w:cs="Arial"/>
          <w:color w:val="000000"/>
          <w:sz w:val="24"/>
          <w:szCs w:val="24"/>
        </w:rPr>
        <w:t>uso de herramientas teórico-conceptuales provenientes de la sociolo</w:t>
      </w:r>
      <w:r>
        <w:rPr>
          <w:rFonts w:ascii="Arial" w:eastAsia="Arial" w:hAnsi="Arial" w:cs="Arial"/>
          <w:sz w:val="24"/>
          <w:szCs w:val="24"/>
        </w:rPr>
        <w:t xml:space="preserve">gía, antropología, </w:t>
      </w:r>
      <w:r>
        <w:rPr>
          <w:rFonts w:ascii="Arial" w:eastAsia="Arial" w:hAnsi="Arial" w:cs="Arial"/>
          <w:color w:val="000000"/>
          <w:sz w:val="24"/>
          <w:szCs w:val="24"/>
        </w:rPr>
        <w:t>filosofía, historia del arte</w:t>
      </w:r>
      <w:r>
        <w:rPr>
          <w:rFonts w:ascii="Arial" w:eastAsia="Arial" w:hAnsi="Arial" w:cs="Arial"/>
          <w:sz w:val="24"/>
          <w:szCs w:val="24"/>
        </w:rPr>
        <w:t>, entre otros.</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7</w:t>
      </w:r>
      <w:r>
        <w:rPr>
          <w:rFonts w:ascii="Arial" w:eastAsia="Arial" w:hAnsi="Arial" w:cs="Arial"/>
          <w:color w:val="000000"/>
          <w:sz w:val="24"/>
          <w:szCs w:val="24"/>
        </w:rPr>
        <w:t>- Redefinición de las hipótesis de trabajo a partir de las fuentes, el trabajo de campo y la bibliografía examinada.</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8</w:t>
      </w:r>
      <w:r>
        <w:rPr>
          <w:rFonts w:ascii="Arial" w:eastAsia="Arial" w:hAnsi="Arial" w:cs="Arial"/>
          <w:color w:val="000000"/>
          <w:sz w:val="24"/>
          <w:szCs w:val="24"/>
        </w:rPr>
        <w:t>- Elabor</w:t>
      </w:r>
      <w:r>
        <w:rPr>
          <w:rFonts w:ascii="Arial" w:eastAsia="Arial" w:hAnsi="Arial" w:cs="Arial"/>
          <w:color w:val="000000"/>
          <w:sz w:val="24"/>
          <w:szCs w:val="24"/>
        </w:rPr>
        <w:t>ación escrita de la investigación.</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9</w:t>
      </w:r>
      <w:r>
        <w:rPr>
          <w:rFonts w:ascii="Arial" w:eastAsia="Arial" w:hAnsi="Arial" w:cs="Arial"/>
          <w:color w:val="000000"/>
          <w:sz w:val="24"/>
          <w:szCs w:val="24"/>
        </w:rPr>
        <w:t>- Organización y participación en simposios/coloquios internos del grupo o convocados por otras instancias en las que intervienen comentaristas y relatores para el control de hipótesis, enfoques y análisis de fuentes. Pr</w:t>
      </w:r>
      <w:r>
        <w:rPr>
          <w:rFonts w:ascii="Arial" w:eastAsia="Arial" w:hAnsi="Arial" w:cs="Arial"/>
          <w:color w:val="000000"/>
          <w:sz w:val="24"/>
          <w:szCs w:val="24"/>
        </w:rPr>
        <w:t>etendemos participar en diversos congresos: VII Simposio OP (San Pedro de Colalao, 20</w:t>
      </w:r>
      <w:r>
        <w:rPr>
          <w:rFonts w:ascii="Arial" w:eastAsia="Arial" w:hAnsi="Arial" w:cs="Arial"/>
          <w:sz w:val="24"/>
          <w:szCs w:val="24"/>
        </w:rPr>
        <w:t>20</w:t>
      </w:r>
      <w:r>
        <w:rPr>
          <w:rFonts w:ascii="Arial" w:eastAsia="Arial" w:hAnsi="Arial" w:cs="Arial"/>
          <w:color w:val="000000"/>
          <w:sz w:val="24"/>
          <w:szCs w:val="24"/>
        </w:rPr>
        <w:t xml:space="preserve">); </w:t>
      </w:r>
      <w:r>
        <w:rPr>
          <w:rFonts w:ascii="Arial" w:eastAsia="Arial" w:hAnsi="Arial" w:cs="Arial"/>
          <w:sz w:val="24"/>
          <w:szCs w:val="24"/>
        </w:rPr>
        <w:t xml:space="preserve">VI Jornadas de historia de la iglesia y las religiosidades en el NOA (La Rioja, </w:t>
      </w:r>
      <w:r>
        <w:rPr>
          <w:rFonts w:ascii="Arial" w:eastAsia="Arial" w:hAnsi="Arial" w:cs="Arial"/>
          <w:sz w:val="24"/>
          <w:szCs w:val="24"/>
        </w:rPr>
        <w:lastRenderedPageBreak/>
        <w:t>2020); XIX Congreso Internacional de AHILA, París (París, 2020); XI Jornadas de Histor</w:t>
      </w:r>
      <w:r>
        <w:rPr>
          <w:rFonts w:ascii="Arial" w:eastAsia="Arial" w:hAnsi="Arial" w:cs="Arial"/>
          <w:sz w:val="24"/>
          <w:szCs w:val="24"/>
        </w:rPr>
        <w:t>ia de la Iglesia en Argentina-JHEA (Buenos Aires, 2020); XI Jornadas de Historia Moderna y Contemporánea (Bahía Blanca, 2020); II Jornadas de Historia de la Arquidiócesis de Tucumán y V Jornadas de Historia de la Diócesis de la Ssma. Concepción (Tucumán, 2</w:t>
      </w:r>
      <w:r>
        <w:rPr>
          <w:rFonts w:ascii="Arial" w:eastAsia="Arial" w:hAnsi="Arial" w:cs="Arial"/>
          <w:sz w:val="24"/>
          <w:szCs w:val="24"/>
        </w:rPr>
        <w:t>021); ICA LVII Congreso Internacional de Americanistas (Foz de Iguazú, 2021); XIX Jornadas Interescuelas/ Departamentos de Historia (Santiago del Estero, 2021); IV</w:t>
      </w:r>
      <w:r>
        <w:rPr>
          <w:rFonts w:ascii="Arial" w:eastAsia="Arial" w:hAnsi="Arial" w:cs="Arial"/>
          <w:color w:val="000000"/>
          <w:sz w:val="24"/>
          <w:szCs w:val="24"/>
        </w:rPr>
        <w:t xml:space="preserve"> Congreso Internacional de Historia de la Orden de Predicadores  (</w:t>
      </w:r>
      <w:r>
        <w:rPr>
          <w:rFonts w:ascii="Arial" w:eastAsia="Arial" w:hAnsi="Arial" w:cs="Arial"/>
          <w:sz w:val="24"/>
          <w:szCs w:val="24"/>
        </w:rPr>
        <w:t>Tucumán</w:t>
      </w:r>
      <w:r>
        <w:rPr>
          <w:rFonts w:ascii="Arial" w:eastAsia="Arial" w:hAnsi="Arial" w:cs="Arial"/>
          <w:color w:val="000000"/>
          <w:sz w:val="24"/>
          <w:szCs w:val="24"/>
        </w:rPr>
        <w:t>, 20</w:t>
      </w:r>
      <w:r>
        <w:rPr>
          <w:rFonts w:ascii="Arial" w:eastAsia="Arial" w:hAnsi="Arial" w:cs="Arial"/>
          <w:sz w:val="24"/>
          <w:szCs w:val="24"/>
        </w:rPr>
        <w:t>22</w:t>
      </w:r>
      <w:r>
        <w:rPr>
          <w:rFonts w:ascii="Arial" w:eastAsia="Arial" w:hAnsi="Arial" w:cs="Arial"/>
          <w:color w:val="000000"/>
          <w:sz w:val="24"/>
          <w:szCs w:val="24"/>
        </w:rPr>
        <w:t xml:space="preserve">). </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10</w:t>
      </w:r>
      <w:r>
        <w:rPr>
          <w:rFonts w:ascii="Arial" w:eastAsia="Arial" w:hAnsi="Arial" w:cs="Arial"/>
          <w:color w:val="000000"/>
          <w:sz w:val="24"/>
          <w:szCs w:val="24"/>
        </w:rPr>
        <w:t xml:space="preserve">- </w:t>
      </w:r>
      <w:r>
        <w:rPr>
          <w:rFonts w:ascii="Arial" w:eastAsia="Arial" w:hAnsi="Arial" w:cs="Arial"/>
          <w:sz w:val="24"/>
          <w:szCs w:val="24"/>
        </w:rPr>
        <w:t>Elabor</w:t>
      </w:r>
      <w:r>
        <w:rPr>
          <w:rFonts w:ascii="Arial" w:eastAsia="Arial" w:hAnsi="Arial" w:cs="Arial"/>
          <w:sz w:val="24"/>
          <w:szCs w:val="24"/>
        </w:rPr>
        <w:t xml:space="preserve">ación </w:t>
      </w:r>
      <w:r>
        <w:rPr>
          <w:rFonts w:ascii="Arial" w:eastAsia="Arial" w:hAnsi="Arial" w:cs="Arial"/>
          <w:color w:val="000000"/>
          <w:sz w:val="24"/>
          <w:szCs w:val="24"/>
        </w:rPr>
        <w:t>de artículos con los resultados de la investigaci</w:t>
      </w:r>
      <w:r>
        <w:rPr>
          <w:rFonts w:ascii="Arial" w:eastAsia="Arial" w:hAnsi="Arial" w:cs="Arial"/>
          <w:sz w:val="24"/>
          <w:szCs w:val="24"/>
        </w:rPr>
        <w:t>ón para ser publicados en</w:t>
      </w:r>
      <w:r>
        <w:rPr>
          <w:rFonts w:ascii="Arial" w:eastAsia="Arial" w:hAnsi="Arial" w:cs="Arial"/>
          <w:color w:val="000000"/>
          <w:sz w:val="24"/>
          <w:szCs w:val="24"/>
        </w:rPr>
        <w:t xml:space="preserve"> </w:t>
      </w:r>
      <w:r>
        <w:rPr>
          <w:rFonts w:ascii="Arial" w:eastAsia="Arial" w:hAnsi="Arial" w:cs="Arial"/>
          <w:sz w:val="24"/>
          <w:szCs w:val="24"/>
        </w:rPr>
        <w:t>revistas</w:t>
      </w:r>
      <w:r>
        <w:rPr>
          <w:rFonts w:ascii="Arial" w:eastAsia="Arial" w:hAnsi="Arial" w:cs="Arial"/>
          <w:color w:val="000000"/>
          <w:sz w:val="24"/>
          <w:szCs w:val="24"/>
        </w:rPr>
        <w:t xml:space="preserve"> científicas nacionales o internacionales </w:t>
      </w:r>
      <w:r>
        <w:rPr>
          <w:rFonts w:ascii="Arial" w:eastAsia="Arial" w:hAnsi="Arial" w:cs="Arial"/>
          <w:sz w:val="24"/>
          <w:szCs w:val="24"/>
        </w:rPr>
        <w:t xml:space="preserve">con </w:t>
      </w:r>
      <w:r>
        <w:rPr>
          <w:rFonts w:ascii="Arial" w:eastAsia="Arial" w:hAnsi="Arial" w:cs="Arial"/>
          <w:color w:val="000000"/>
          <w:sz w:val="24"/>
          <w:szCs w:val="24"/>
        </w:rPr>
        <w:t xml:space="preserve">referato. </w:t>
      </w:r>
    </w:p>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CRONOGRAMA DE TRABAJO</w:t>
      </w:r>
    </w:p>
    <w:p w:rsidR="00310392" w:rsidRDefault="00523CC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 </w:t>
      </w:r>
    </w:p>
    <w:tbl>
      <w:tblPr>
        <w:tblStyle w:val="a2"/>
        <w:tblW w:w="10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1"/>
        <w:gridCol w:w="408"/>
        <w:gridCol w:w="408"/>
        <w:gridCol w:w="408"/>
        <w:gridCol w:w="408"/>
        <w:gridCol w:w="408"/>
        <w:gridCol w:w="408"/>
        <w:gridCol w:w="408"/>
        <w:gridCol w:w="513"/>
        <w:gridCol w:w="408"/>
        <w:gridCol w:w="408"/>
        <w:gridCol w:w="408"/>
        <w:gridCol w:w="408"/>
      </w:tblGrid>
      <w:tr w:rsidR="00310392">
        <w:tc>
          <w:tcPr>
            <w:tcW w:w="5042" w:type="dxa"/>
          </w:tcPr>
          <w:p w:rsidR="00310392" w:rsidRDefault="00523CCD">
            <w:pPr>
              <w:keepNext/>
              <w:pBdr>
                <w:top w:val="nil"/>
                <w:left w:val="nil"/>
                <w:bottom w:val="nil"/>
                <w:right w:val="nil"/>
                <w:between w:val="nil"/>
              </w:pBdr>
              <w:tabs>
                <w:tab w:val="left" w:pos="3060"/>
              </w:tabs>
              <w:spacing w:after="0" w:line="240" w:lineRule="auto"/>
              <w:ind w:left="-4854" w:right="-32" w:firstLine="4854"/>
              <w:rPr>
                <w:rFonts w:ascii="Arial" w:eastAsia="Arial" w:hAnsi="Arial" w:cs="Arial"/>
                <w:color w:val="000000"/>
                <w:sz w:val="24"/>
                <w:szCs w:val="24"/>
              </w:rPr>
            </w:pPr>
            <w:r>
              <w:rPr>
                <w:rFonts w:ascii="Arial" w:eastAsia="Arial" w:hAnsi="Arial" w:cs="Arial"/>
                <w:b/>
                <w:sz w:val="24"/>
                <w:szCs w:val="24"/>
              </w:rPr>
              <w:t>Actividad</w:t>
            </w:r>
          </w:p>
        </w:tc>
        <w:tc>
          <w:tcPr>
            <w:tcW w:w="5001" w:type="dxa"/>
            <w:gridSpan w:val="12"/>
          </w:tcPr>
          <w:p w:rsidR="00310392" w:rsidRDefault="00523CCD">
            <w:pPr>
              <w:pBdr>
                <w:top w:val="nil"/>
                <w:left w:val="nil"/>
                <w:bottom w:val="nil"/>
                <w:right w:val="nil"/>
                <w:between w:val="nil"/>
              </w:pBdr>
              <w:tabs>
                <w:tab w:val="left" w:pos="3060"/>
              </w:tabs>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Año 20</w:t>
            </w:r>
            <w:r>
              <w:rPr>
                <w:rFonts w:ascii="Arial" w:eastAsia="Arial" w:hAnsi="Arial" w:cs="Arial"/>
                <w:b/>
                <w:sz w:val="24"/>
                <w:szCs w:val="24"/>
              </w:rPr>
              <w:t>20</w:t>
            </w:r>
          </w:p>
        </w:tc>
      </w:tr>
      <w:tr w:rsidR="00310392">
        <w:tc>
          <w:tcPr>
            <w:tcW w:w="5042"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4</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5</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6</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7</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8</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9</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rPr>
            </w:pPr>
            <w:r>
              <w:rPr>
                <w:rFonts w:ascii="Arial" w:eastAsia="Arial" w:hAnsi="Arial" w:cs="Arial"/>
                <w:color w:val="000000"/>
              </w:rPr>
              <w:t>10</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11</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rPr>
            </w:pPr>
            <w:r>
              <w:rPr>
                <w:rFonts w:ascii="Arial" w:eastAsia="Arial" w:hAnsi="Arial" w:cs="Arial"/>
                <w:color w:val="000000"/>
              </w:rPr>
              <w:t>12</w:t>
            </w: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Relevamiento de bibliografía</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Análisis del marco teórico</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Trabajo de campo (relevamiento </w:t>
            </w:r>
            <w:r>
              <w:rPr>
                <w:rFonts w:ascii="Arial" w:eastAsia="Arial" w:hAnsi="Arial" w:cs="Arial"/>
                <w:sz w:val="24"/>
                <w:szCs w:val="24"/>
              </w:rPr>
              <w:t>de fuentes primarias)</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Interpretación</w:t>
            </w:r>
            <w:r>
              <w:rPr>
                <w:rFonts w:ascii="Arial" w:eastAsia="Arial" w:hAnsi="Arial" w:cs="Arial"/>
                <w:color w:val="000000"/>
                <w:sz w:val="24"/>
                <w:szCs w:val="24"/>
              </w:rPr>
              <w:t xml:space="preserve"> de fuentes</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Participación en </w:t>
            </w:r>
            <w:r>
              <w:rPr>
                <w:rFonts w:ascii="Arial" w:eastAsia="Arial" w:hAnsi="Arial" w:cs="Arial"/>
                <w:sz w:val="24"/>
                <w:szCs w:val="24"/>
              </w:rPr>
              <w:t>eventos</w:t>
            </w:r>
            <w:r>
              <w:rPr>
                <w:rFonts w:ascii="Arial" w:eastAsia="Arial" w:hAnsi="Arial" w:cs="Arial"/>
                <w:color w:val="000000"/>
                <w:sz w:val="24"/>
                <w:szCs w:val="24"/>
              </w:rPr>
              <w:t xml:space="preserve"> académicos nacionales e internacionales para la difusión de avances</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Escritura de artículos para publicar</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sz w:val="24"/>
                <w:szCs w:val="24"/>
              </w:rPr>
            </w:pP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Elaboración y redacción del Informe Parcial</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513"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r>
    </w:tbl>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a3"/>
        <w:tblW w:w="10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1"/>
        <w:gridCol w:w="408"/>
        <w:gridCol w:w="408"/>
        <w:gridCol w:w="408"/>
        <w:gridCol w:w="408"/>
        <w:gridCol w:w="408"/>
        <w:gridCol w:w="408"/>
        <w:gridCol w:w="408"/>
        <w:gridCol w:w="513"/>
        <w:gridCol w:w="408"/>
        <w:gridCol w:w="408"/>
        <w:gridCol w:w="408"/>
        <w:gridCol w:w="408"/>
      </w:tblGrid>
      <w:tr w:rsidR="00310392">
        <w:trPr>
          <w:trHeight w:val="300"/>
        </w:trPr>
        <w:tc>
          <w:tcPr>
            <w:tcW w:w="5042" w:type="dxa"/>
          </w:tcPr>
          <w:p w:rsidR="00310392" w:rsidRDefault="00523CCD">
            <w:pPr>
              <w:keepNext/>
              <w:tabs>
                <w:tab w:val="left" w:pos="3060"/>
              </w:tabs>
              <w:spacing w:after="0" w:line="240" w:lineRule="auto"/>
              <w:ind w:left="90" w:right="-32"/>
              <w:rPr>
                <w:rFonts w:ascii="Arial" w:eastAsia="Arial" w:hAnsi="Arial" w:cs="Arial"/>
                <w:b/>
                <w:color w:val="000000"/>
                <w:sz w:val="24"/>
                <w:szCs w:val="24"/>
              </w:rPr>
            </w:pPr>
            <w:r>
              <w:rPr>
                <w:rFonts w:ascii="Arial" w:eastAsia="Arial" w:hAnsi="Arial" w:cs="Arial"/>
                <w:b/>
                <w:sz w:val="24"/>
                <w:szCs w:val="24"/>
              </w:rPr>
              <w:t>Actividad</w:t>
            </w:r>
          </w:p>
        </w:tc>
        <w:tc>
          <w:tcPr>
            <w:tcW w:w="5001" w:type="dxa"/>
            <w:gridSpan w:val="12"/>
          </w:tcPr>
          <w:p w:rsidR="00310392" w:rsidRDefault="00523CCD">
            <w:pPr>
              <w:pBdr>
                <w:top w:val="nil"/>
                <w:left w:val="nil"/>
                <w:bottom w:val="nil"/>
                <w:right w:val="nil"/>
                <w:between w:val="nil"/>
              </w:pBdr>
              <w:tabs>
                <w:tab w:val="left" w:pos="3060"/>
              </w:tabs>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Año 20</w:t>
            </w:r>
            <w:r>
              <w:rPr>
                <w:rFonts w:ascii="Arial" w:eastAsia="Arial" w:hAnsi="Arial" w:cs="Arial"/>
                <w:b/>
                <w:sz w:val="24"/>
                <w:szCs w:val="24"/>
              </w:rPr>
              <w:t>21</w:t>
            </w:r>
          </w:p>
        </w:tc>
      </w:tr>
      <w:tr w:rsidR="00310392">
        <w:tc>
          <w:tcPr>
            <w:tcW w:w="5042"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4</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5</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6</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7</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8</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9</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rPr>
            </w:pPr>
            <w:r>
              <w:rPr>
                <w:rFonts w:ascii="Arial" w:eastAsia="Arial" w:hAnsi="Arial" w:cs="Arial"/>
                <w:color w:val="000000"/>
              </w:rPr>
              <w:t>10</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11</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rPr>
            </w:pPr>
            <w:r>
              <w:rPr>
                <w:rFonts w:ascii="Arial" w:eastAsia="Arial" w:hAnsi="Arial" w:cs="Arial"/>
                <w:color w:val="000000"/>
              </w:rPr>
              <w:t>12</w:t>
            </w: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Relevamiento de bibliografía</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Análisis del marco teórico</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r>
      <w:tr w:rsidR="00310392">
        <w:tc>
          <w:tcPr>
            <w:tcW w:w="5042" w:type="dxa"/>
          </w:tcPr>
          <w:p w:rsidR="00310392" w:rsidRDefault="00523CCD">
            <w:pPr>
              <w:tabs>
                <w:tab w:val="left" w:pos="3060"/>
              </w:tabs>
              <w:spacing w:after="0" w:line="240" w:lineRule="auto"/>
              <w:jc w:val="both"/>
              <w:rPr>
                <w:rFonts w:ascii="Arial" w:eastAsia="Arial" w:hAnsi="Arial" w:cs="Arial"/>
                <w:sz w:val="24"/>
                <w:szCs w:val="24"/>
              </w:rPr>
            </w:pPr>
            <w:r>
              <w:rPr>
                <w:rFonts w:ascii="Arial" w:eastAsia="Arial" w:hAnsi="Arial" w:cs="Arial"/>
                <w:sz w:val="24"/>
                <w:szCs w:val="24"/>
              </w:rPr>
              <w:t>Trabajo de campo (relevamiento de fuentes primarias)</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r>
      <w:tr w:rsidR="00310392">
        <w:tc>
          <w:tcPr>
            <w:tcW w:w="5042" w:type="dxa"/>
          </w:tcPr>
          <w:p w:rsidR="00310392" w:rsidRDefault="00523CCD">
            <w:pPr>
              <w:tabs>
                <w:tab w:val="left" w:pos="3060"/>
              </w:tabs>
              <w:spacing w:after="0" w:line="240" w:lineRule="auto"/>
              <w:jc w:val="both"/>
              <w:rPr>
                <w:rFonts w:ascii="Arial" w:eastAsia="Arial" w:hAnsi="Arial" w:cs="Arial"/>
                <w:sz w:val="24"/>
                <w:szCs w:val="24"/>
              </w:rPr>
            </w:pPr>
            <w:r>
              <w:rPr>
                <w:rFonts w:ascii="Arial" w:eastAsia="Arial" w:hAnsi="Arial" w:cs="Arial"/>
                <w:sz w:val="24"/>
                <w:szCs w:val="24"/>
              </w:rPr>
              <w:t>Interpretación de fuentes</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Participación en eventos</w:t>
            </w:r>
            <w:r>
              <w:rPr>
                <w:rFonts w:ascii="Arial" w:eastAsia="Arial" w:hAnsi="Arial" w:cs="Arial"/>
                <w:sz w:val="24"/>
                <w:szCs w:val="24"/>
              </w:rPr>
              <w:t xml:space="preserve"> académicos </w:t>
            </w:r>
            <w:r>
              <w:rPr>
                <w:rFonts w:ascii="Arial" w:eastAsia="Arial" w:hAnsi="Arial" w:cs="Arial"/>
                <w:color w:val="000000"/>
                <w:sz w:val="24"/>
                <w:szCs w:val="24"/>
              </w:rPr>
              <w:t xml:space="preserve"> nacionales e internacionales para la difusión de avances</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513"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Publicación de resultados</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513"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r>
      <w:tr w:rsidR="00310392">
        <w:tc>
          <w:tcPr>
            <w:tcW w:w="5042"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Elaboración y redacción del Informe </w:t>
            </w:r>
            <w:r>
              <w:rPr>
                <w:rFonts w:ascii="Arial" w:eastAsia="Arial" w:hAnsi="Arial" w:cs="Arial"/>
                <w:sz w:val="24"/>
                <w:szCs w:val="24"/>
              </w:rPr>
              <w:t>Final</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513"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w:t>
            </w:r>
          </w:p>
        </w:tc>
        <w:tc>
          <w:tcPr>
            <w:tcW w:w="408"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r>
    </w:tbl>
    <w:p w:rsidR="00310392" w:rsidRDefault="00310392">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a4"/>
        <w:tblW w:w="99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5"/>
        <w:gridCol w:w="405"/>
        <w:gridCol w:w="405"/>
        <w:gridCol w:w="405"/>
        <w:gridCol w:w="405"/>
        <w:gridCol w:w="405"/>
        <w:gridCol w:w="405"/>
        <w:gridCol w:w="405"/>
        <w:gridCol w:w="510"/>
        <w:gridCol w:w="405"/>
        <w:gridCol w:w="405"/>
        <w:gridCol w:w="405"/>
        <w:gridCol w:w="405"/>
      </w:tblGrid>
      <w:tr w:rsidR="00310392">
        <w:tc>
          <w:tcPr>
            <w:tcW w:w="5025" w:type="dxa"/>
          </w:tcPr>
          <w:p w:rsidR="00310392" w:rsidRDefault="00523CCD">
            <w:pPr>
              <w:keepNext/>
              <w:pBdr>
                <w:top w:val="nil"/>
                <w:left w:val="nil"/>
                <w:bottom w:val="nil"/>
                <w:right w:val="nil"/>
                <w:between w:val="nil"/>
              </w:pBdr>
              <w:tabs>
                <w:tab w:val="left" w:pos="3060"/>
              </w:tabs>
              <w:spacing w:after="0" w:line="240" w:lineRule="auto"/>
              <w:ind w:left="-90" w:right="-32"/>
              <w:rPr>
                <w:rFonts w:ascii="Arial" w:eastAsia="Arial" w:hAnsi="Arial" w:cs="Arial"/>
                <w:b/>
                <w:color w:val="000000"/>
                <w:sz w:val="24"/>
                <w:szCs w:val="24"/>
              </w:rPr>
            </w:pPr>
            <w:r>
              <w:rPr>
                <w:rFonts w:ascii="Arial" w:eastAsia="Arial" w:hAnsi="Arial" w:cs="Arial"/>
                <w:sz w:val="24"/>
                <w:szCs w:val="24"/>
              </w:rPr>
              <w:t xml:space="preserve">  </w:t>
            </w:r>
            <w:r>
              <w:rPr>
                <w:rFonts w:ascii="Arial" w:eastAsia="Arial" w:hAnsi="Arial" w:cs="Arial"/>
                <w:b/>
                <w:sz w:val="24"/>
                <w:szCs w:val="24"/>
              </w:rPr>
              <w:t>Actividad</w:t>
            </w:r>
          </w:p>
        </w:tc>
        <w:tc>
          <w:tcPr>
            <w:tcW w:w="4965" w:type="dxa"/>
            <w:gridSpan w:val="12"/>
          </w:tcPr>
          <w:p w:rsidR="00310392" w:rsidRDefault="00523CCD">
            <w:pPr>
              <w:pBdr>
                <w:top w:val="nil"/>
                <w:left w:val="nil"/>
                <w:bottom w:val="nil"/>
                <w:right w:val="nil"/>
                <w:between w:val="nil"/>
              </w:pBdr>
              <w:tabs>
                <w:tab w:val="left" w:pos="3060"/>
              </w:tabs>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Año 20</w:t>
            </w:r>
            <w:r>
              <w:rPr>
                <w:rFonts w:ascii="Arial" w:eastAsia="Arial" w:hAnsi="Arial" w:cs="Arial"/>
                <w:b/>
                <w:sz w:val="24"/>
                <w:szCs w:val="24"/>
              </w:rPr>
              <w:t>22</w:t>
            </w:r>
          </w:p>
        </w:tc>
      </w:tr>
      <w:tr w:rsidR="00310392">
        <w:tc>
          <w:tcPr>
            <w:tcW w:w="5025" w:type="dxa"/>
          </w:tcPr>
          <w:p w:rsidR="00310392" w:rsidRDefault="00310392">
            <w:pPr>
              <w:tabs>
                <w:tab w:val="left" w:pos="3060"/>
              </w:tabs>
              <w:spacing w:after="0" w:line="240" w:lineRule="auto"/>
              <w:jc w:val="both"/>
              <w:rPr>
                <w:rFonts w:ascii="Arial" w:eastAsia="Arial" w:hAnsi="Arial" w:cs="Arial"/>
                <w:sz w:val="24"/>
                <w:szCs w:val="24"/>
              </w:rPr>
            </w:pP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4</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5</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6</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7</w:t>
            </w:r>
          </w:p>
        </w:tc>
        <w:tc>
          <w:tcPr>
            <w:tcW w:w="510"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8</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9</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rPr>
            </w:pPr>
            <w:r>
              <w:rPr>
                <w:rFonts w:ascii="Arial" w:eastAsia="Arial" w:hAnsi="Arial" w:cs="Arial"/>
              </w:rPr>
              <w:t>10</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11</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rPr>
            </w:pPr>
            <w:r>
              <w:rPr>
                <w:rFonts w:ascii="Arial" w:eastAsia="Arial" w:hAnsi="Arial" w:cs="Arial"/>
              </w:rPr>
              <w:t>12</w:t>
            </w:r>
          </w:p>
        </w:tc>
      </w:tr>
      <w:tr w:rsidR="00310392">
        <w:tc>
          <w:tcPr>
            <w:tcW w:w="5025" w:type="dxa"/>
          </w:tcPr>
          <w:p w:rsidR="00310392" w:rsidRDefault="00523CCD">
            <w:pPr>
              <w:tabs>
                <w:tab w:val="left" w:pos="3060"/>
              </w:tabs>
              <w:spacing w:after="0" w:line="240" w:lineRule="auto"/>
              <w:jc w:val="both"/>
              <w:rPr>
                <w:rFonts w:ascii="Arial" w:eastAsia="Arial" w:hAnsi="Arial" w:cs="Arial"/>
                <w:sz w:val="24"/>
                <w:szCs w:val="24"/>
              </w:rPr>
            </w:pPr>
            <w:r>
              <w:rPr>
                <w:rFonts w:ascii="Arial" w:eastAsia="Arial" w:hAnsi="Arial" w:cs="Arial"/>
                <w:sz w:val="24"/>
                <w:szCs w:val="24"/>
              </w:rPr>
              <w:t>Publicación de resultados</w:t>
            </w: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510"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r>
      <w:tr w:rsidR="00310392">
        <w:tc>
          <w:tcPr>
            <w:tcW w:w="5025" w:type="dxa"/>
          </w:tcPr>
          <w:p w:rsidR="00310392" w:rsidRDefault="00523CCD">
            <w:pPr>
              <w:tabs>
                <w:tab w:val="left" w:pos="3060"/>
              </w:tabs>
              <w:spacing w:after="0" w:line="240" w:lineRule="auto"/>
              <w:jc w:val="both"/>
              <w:rPr>
                <w:rFonts w:ascii="Arial" w:eastAsia="Arial" w:hAnsi="Arial" w:cs="Arial"/>
                <w:sz w:val="24"/>
                <w:szCs w:val="24"/>
              </w:rPr>
            </w:pPr>
            <w:r>
              <w:rPr>
                <w:rFonts w:ascii="Arial" w:eastAsia="Arial" w:hAnsi="Arial" w:cs="Arial"/>
                <w:sz w:val="24"/>
                <w:szCs w:val="24"/>
              </w:rPr>
              <w:t>Elaboración y redacción del Informa final</w:t>
            </w:r>
          </w:p>
          <w:p w:rsidR="00310392" w:rsidRDefault="00523CCD">
            <w:pPr>
              <w:tabs>
                <w:tab w:val="left" w:pos="3060"/>
              </w:tabs>
              <w:spacing w:after="0" w:line="240" w:lineRule="auto"/>
              <w:jc w:val="both"/>
              <w:rPr>
                <w:rFonts w:ascii="Arial" w:eastAsia="Arial" w:hAnsi="Arial" w:cs="Arial"/>
                <w:sz w:val="24"/>
                <w:szCs w:val="24"/>
              </w:rPr>
            </w:pPr>
            <w:r>
              <w:rPr>
                <w:rFonts w:ascii="Arial" w:eastAsia="Arial" w:hAnsi="Arial" w:cs="Arial"/>
                <w:sz w:val="24"/>
                <w:szCs w:val="24"/>
              </w:rPr>
              <w:t>Publicación de un libro (en soporte papel y digital)</w:t>
            </w: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5"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510"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r>
      <w:tr w:rsidR="00310392">
        <w:tc>
          <w:tcPr>
            <w:tcW w:w="5025" w:type="dxa"/>
          </w:tcPr>
          <w:p w:rsidR="00310392" w:rsidRDefault="00523CCD">
            <w:pPr>
              <w:tabs>
                <w:tab w:val="left" w:pos="3060"/>
              </w:tabs>
              <w:spacing w:after="0" w:line="240" w:lineRule="auto"/>
              <w:jc w:val="both"/>
              <w:rPr>
                <w:rFonts w:ascii="Arial" w:eastAsia="Arial" w:hAnsi="Arial" w:cs="Arial"/>
                <w:sz w:val="24"/>
                <w:szCs w:val="24"/>
              </w:rPr>
            </w:pPr>
            <w:r>
              <w:rPr>
                <w:rFonts w:ascii="Arial" w:eastAsia="Arial" w:hAnsi="Arial" w:cs="Arial"/>
                <w:sz w:val="24"/>
                <w:szCs w:val="24"/>
              </w:rPr>
              <w:lastRenderedPageBreak/>
              <w:t>Participación en eventos académicos  nacionales e internacionales para la difusión de avances</w:t>
            </w: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510" w:type="dxa"/>
          </w:tcPr>
          <w:p w:rsidR="00310392" w:rsidRDefault="00523CCD">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r>
              <w:rPr>
                <w:rFonts w:ascii="Arial" w:eastAsia="Arial" w:hAnsi="Arial" w:cs="Arial"/>
                <w:sz w:val="24"/>
                <w:szCs w:val="24"/>
              </w:rPr>
              <w:t>X</w:t>
            </w: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c>
          <w:tcPr>
            <w:tcW w:w="405" w:type="dxa"/>
          </w:tcPr>
          <w:p w:rsidR="00310392" w:rsidRDefault="00310392">
            <w:pPr>
              <w:pBdr>
                <w:top w:val="nil"/>
                <w:left w:val="nil"/>
                <w:bottom w:val="nil"/>
                <w:right w:val="nil"/>
                <w:between w:val="nil"/>
              </w:pBdr>
              <w:tabs>
                <w:tab w:val="left" w:pos="3060"/>
              </w:tabs>
              <w:spacing w:after="0" w:line="240" w:lineRule="auto"/>
              <w:jc w:val="both"/>
              <w:rPr>
                <w:rFonts w:ascii="Arial" w:eastAsia="Arial" w:hAnsi="Arial" w:cs="Arial"/>
                <w:color w:val="000000"/>
                <w:sz w:val="24"/>
                <w:szCs w:val="24"/>
              </w:rPr>
            </w:pPr>
          </w:p>
        </w:tc>
      </w:tr>
    </w:tbl>
    <w:p w:rsidR="00310392" w:rsidRDefault="00310392">
      <w:pPr>
        <w:pBdr>
          <w:top w:val="nil"/>
          <w:left w:val="nil"/>
          <w:bottom w:val="nil"/>
          <w:right w:val="nil"/>
          <w:between w:val="nil"/>
        </w:pBdr>
        <w:rPr>
          <w:rFonts w:ascii="Arial" w:eastAsia="Arial" w:hAnsi="Arial" w:cs="Arial"/>
          <w:b/>
          <w:color w:val="4A86E8"/>
          <w:sz w:val="24"/>
          <w:szCs w:val="24"/>
        </w:rPr>
      </w:pPr>
    </w:p>
    <w:p w:rsidR="00310392" w:rsidRDefault="00523CCD">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PRESUPUESTO</w:t>
      </w:r>
    </w:p>
    <w:p w:rsidR="00310392" w:rsidRDefault="00523CCD">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Detallar el presupuesto y fundamentar la solicitud del subsidio solicitado. </w:t>
      </w:r>
    </w:p>
    <w:p w:rsidR="00310392" w:rsidRDefault="00523CCD">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Nuestras investigaciones requerirán la realización de actividades que demanden tareas de relevamiento y registro, que involucran trabajos de campo de diverso tipo: desplazamientos a distintos reservorios en diferentes lugares de la provincia y del pa</w:t>
      </w:r>
      <w:r>
        <w:rPr>
          <w:rFonts w:ascii="Arial" w:eastAsia="Arial" w:hAnsi="Arial" w:cs="Arial"/>
          <w:sz w:val="24"/>
          <w:szCs w:val="24"/>
        </w:rPr>
        <w:t>ís</w:t>
      </w:r>
      <w:r>
        <w:rPr>
          <w:rFonts w:ascii="Arial" w:eastAsia="Arial" w:hAnsi="Arial" w:cs="Arial"/>
          <w:color w:val="000000"/>
          <w:sz w:val="24"/>
          <w:szCs w:val="24"/>
        </w:rPr>
        <w:t>, co</w:t>
      </w:r>
      <w:r>
        <w:rPr>
          <w:rFonts w:ascii="Arial" w:eastAsia="Arial" w:hAnsi="Arial" w:cs="Arial"/>
          <w:color w:val="000000"/>
          <w:sz w:val="24"/>
          <w:szCs w:val="24"/>
        </w:rPr>
        <w:t>nsultas de archivos y fondos documentales, realización de entrevistas, etc. También la utilización de diversos elementos tecnológicos: computadoras, cámaras fotográficas, scanner, grabadores digitales, impresoras, etc. y materiales e insumos varios, por lo</w:t>
      </w:r>
      <w:r>
        <w:rPr>
          <w:rFonts w:ascii="Arial" w:eastAsia="Arial" w:hAnsi="Arial" w:cs="Arial"/>
          <w:color w:val="000000"/>
          <w:sz w:val="24"/>
          <w:szCs w:val="24"/>
        </w:rPr>
        <w:t xml:space="preserve"> que parte de los recursos solicitados </w:t>
      </w:r>
      <w:r>
        <w:rPr>
          <w:rFonts w:ascii="Arial" w:eastAsia="Arial" w:hAnsi="Arial" w:cs="Arial"/>
          <w:sz w:val="24"/>
          <w:szCs w:val="24"/>
        </w:rPr>
        <w:t>se destinarán</w:t>
      </w:r>
      <w:r>
        <w:rPr>
          <w:rFonts w:ascii="Arial" w:eastAsia="Arial" w:hAnsi="Arial" w:cs="Arial"/>
          <w:color w:val="000000"/>
          <w:sz w:val="24"/>
          <w:szCs w:val="24"/>
        </w:rPr>
        <w:t xml:space="preserve"> a la actualización de los equipos ya adquiridos</w:t>
      </w:r>
      <w:r>
        <w:rPr>
          <w:rFonts w:ascii="Arial" w:eastAsia="Arial" w:hAnsi="Arial" w:cs="Arial"/>
          <w:sz w:val="24"/>
          <w:szCs w:val="24"/>
        </w:rPr>
        <w:t>.</w:t>
      </w:r>
    </w:p>
    <w:p w:rsidR="00310392" w:rsidRDefault="00310392">
      <w:pPr>
        <w:pBdr>
          <w:top w:val="nil"/>
          <w:left w:val="nil"/>
          <w:bottom w:val="nil"/>
          <w:right w:val="nil"/>
          <w:between w:val="nil"/>
        </w:pBdr>
        <w:spacing w:after="0" w:line="240" w:lineRule="auto"/>
        <w:jc w:val="both"/>
        <w:rPr>
          <w:rFonts w:ascii="Arial" w:eastAsia="Arial" w:hAnsi="Arial" w:cs="Arial"/>
          <w:sz w:val="24"/>
          <w:szCs w:val="24"/>
        </w:rPr>
      </w:pPr>
    </w:p>
    <w:tbl>
      <w:tblPr>
        <w:tblStyle w:val="a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9"/>
        <w:gridCol w:w="2430"/>
        <w:gridCol w:w="1095"/>
        <w:gridCol w:w="1200"/>
        <w:gridCol w:w="1155"/>
        <w:gridCol w:w="1479"/>
      </w:tblGrid>
      <w:tr w:rsidR="00310392">
        <w:tc>
          <w:tcPr>
            <w:tcW w:w="1479" w:type="dxa"/>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Rubro</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2020</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2021</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2022</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total</w:t>
            </w:r>
          </w:p>
        </w:tc>
      </w:tr>
      <w:tr w:rsidR="00310392">
        <w:trPr>
          <w:trHeight w:val="440"/>
        </w:trPr>
        <w:tc>
          <w:tcPr>
            <w:tcW w:w="1479" w:type="dxa"/>
            <w:vMerge w:val="restart"/>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Gastos de Capital</w:t>
            </w: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Equipamiento</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25000</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25000</w:t>
            </w:r>
          </w:p>
        </w:tc>
      </w:tr>
      <w:tr w:rsidR="00310392">
        <w:trPr>
          <w:trHeight w:val="440"/>
        </w:trPr>
        <w:tc>
          <w:tcPr>
            <w:tcW w:w="1479" w:type="dxa"/>
            <w:vMerge/>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Licencias</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r>
      <w:tr w:rsidR="00310392">
        <w:trPr>
          <w:trHeight w:val="440"/>
        </w:trPr>
        <w:tc>
          <w:tcPr>
            <w:tcW w:w="1479" w:type="dxa"/>
            <w:vMerge/>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Bibliografía</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5000</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5000</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10000</w:t>
            </w:r>
          </w:p>
        </w:tc>
      </w:tr>
      <w:tr w:rsidR="00310392">
        <w:trPr>
          <w:trHeight w:val="440"/>
        </w:trPr>
        <w:tc>
          <w:tcPr>
            <w:tcW w:w="1479" w:type="dxa"/>
            <w:vMerge/>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Total</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r>
      <w:tr w:rsidR="00310392">
        <w:trPr>
          <w:trHeight w:val="440"/>
        </w:trPr>
        <w:tc>
          <w:tcPr>
            <w:tcW w:w="1479" w:type="dxa"/>
            <w:vMerge w:val="restart"/>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Gastos corrientes</w:t>
            </w: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Bienes de Consumo</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r>
      <w:tr w:rsidR="00310392">
        <w:trPr>
          <w:trHeight w:val="440"/>
        </w:trPr>
        <w:tc>
          <w:tcPr>
            <w:tcW w:w="1479" w:type="dxa"/>
            <w:vMerge/>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Viajes y viáticos</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50000</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44000</w:t>
            </w:r>
          </w:p>
        </w:tc>
        <w:tc>
          <w:tcPr>
            <w:tcW w:w="1155" w:type="dxa"/>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94000</w:t>
            </w:r>
          </w:p>
        </w:tc>
      </w:tr>
      <w:tr w:rsidR="00310392">
        <w:trPr>
          <w:trHeight w:val="440"/>
        </w:trPr>
        <w:tc>
          <w:tcPr>
            <w:tcW w:w="1479" w:type="dxa"/>
            <w:vMerge/>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Difusión y/o protección de resultados</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7500</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7500</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15000</w:t>
            </w:r>
          </w:p>
        </w:tc>
      </w:tr>
      <w:tr w:rsidR="00310392">
        <w:trPr>
          <w:trHeight w:val="440"/>
        </w:trPr>
        <w:tc>
          <w:tcPr>
            <w:tcW w:w="1479" w:type="dxa"/>
            <w:vMerge/>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243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Servicios de terceros</w:t>
            </w: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6000</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6000</w:t>
            </w:r>
          </w:p>
        </w:tc>
      </w:tr>
      <w:tr w:rsidR="00310392">
        <w:trPr>
          <w:trHeight w:val="440"/>
        </w:trPr>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Total</w:t>
            </w:r>
          </w:p>
        </w:tc>
        <w:tc>
          <w:tcPr>
            <w:tcW w:w="2430" w:type="dxa"/>
            <w:shd w:val="clear" w:color="auto" w:fill="auto"/>
            <w:tcMar>
              <w:top w:w="100" w:type="dxa"/>
              <w:left w:w="100" w:type="dxa"/>
              <w:bottom w:w="100" w:type="dxa"/>
              <w:right w:w="100" w:type="dxa"/>
            </w:tcMar>
          </w:tcPr>
          <w:p w:rsidR="00310392" w:rsidRDefault="00310392">
            <w:pPr>
              <w:widowControl w:val="0"/>
              <w:pBdr>
                <w:top w:val="nil"/>
                <w:left w:val="nil"/>
                <w:bottom w:val="nil"/>
                <w:right w:val="nil"/>
                <w:between w:val="nil"/>
              </w:pBdr>
              <w:spacing w:after="0" w:line="240" w:lineRule="auto"/>
              <w:rPr>
                <w:rFonts w:ascii="Arial" w:eastAsia="Arial" w:hAnsi="Arial" w:cs="Arial"/>
                <w:sz w:val="24"/>
                <w:szCs w:val="24"/>
              </w:rPr>
            </w:pPr>
          </w:p>
        </w:tc>
        <w:tc>
          <w:tcPr>
            <w:tcW w:w="109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87500</w:t>
            </w:r>
          </w:p>
        </w:tc>
        <w:tc>
          <w:tcPr>
            <w:tcW w:w="1200"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62500</w:t>
            </w:r>
          </w:p>
        </w:tc>
        <w:tc>
          <w:tcPr>
            <w:tcW w:w="1155"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t>
            </w:r>
          </w:p>
        </w:tc>
        <w:tc>
          <w:tcPr>
            <w:tcW w:w="1479" w:type="dxa"/>
            <w:shd w:val="clear" w:color="auto" w:fill="auto"/>
            <w:tcMar>
              <w:top w:w="100" w:type="dxa"/>
              <w:left w:w="100" w:type="dxa"/>
              <w:bottom w:w="100" w:type="dxa"/>
              <w:right w:w="100" w:type="dxa"/>
            </w:tcMar>
          </w:tcPr>
          <w:p w:rsidR="00310392" w:rsidRDefault="00523CCD">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150000</w:t>
            </w:r>
          </w:p>
        </w:tc>
      </w:tr>
    </w:tbl>
    <w:p w:rsidR="00310392" w:rsidRDefault="00310392">
      <w:pPr>
        <w:pBdr>
          <w:top w:val="nil"/>
          <w:left w:val="nil"/>
          <w:bottom w:val="nil"/>
          <w:right w:val="nil"/>
          <w:between w:val="nil"/>
        </w:pBdr>
        <w:spacing w:after="0" w:line="240" w:lineRule="auto"/>
        <w:jc w:val="both"/>
        <w:rPr>
          <w:rFonts w:ascii="Arial" w:eastAsia="Arial" w:hAnsi="Arial" w:cs="Arial"/>
          <w:sz w:val="24"/>
          <w:szCs w:val="24"/>
        </w:rPr>
      </w:pPr>
    </w:p>
    <w:p w:rsidR="00310392" w:rsidRDefault="00310392">
      <w:pPr>
        <w:pBdr>
          <w:top w:val="nil"/>
          <w:left w:val="nil"/>
          <w:bottom w:val="nil"/>
          <w:right w:val="nil"/>
          <w:between w:val="nil"/>
        </w:pBdr>
        <w:spacing w:after="0" w:line="240" w:lineRule="auto"/>
        <w:jc w:val="both"/>
        <w:rPr>
          <w:rFonts w:ascii="Arial" w:eastAsia="Arial" w:hAnsi="Arial" w:cs="Arial"/>
          <w:sz w:val="24"/>
          <w:szCs w:val="24"/>
        </w:rPr>
      </w:pPr>
    </w:p>
    <w:p w:rsidR="00310392" w:rsidRDefault="00310392">
      <w:pPr>
        <w:pBdr>
          <w:top w:val="nil"/>
          <w:left w:val="nil"/>
          <w:bottom w:val="nil"/>
          <w:right w:val="nil"/>
          <w:between w:val="nil"/>
        </w:pBdr>
        <w:spacing w:after="0" w:line="240" w:lineRule="auto"/>
        <w:jc w:val="both"/>
        <w:rPr>
          <w:rFonts w:ascii="Arial" w:eastAsia="Arial" w:hAnsi="Arial" w:cs="Arial"/>
          <w:sz w:val="24"/>
          <w:szCs w:val="24"/>
        </w:rPr>
      </w:pPr>
    </w:p>
    <w:p w:rsidR="00310392" w:rsidRDefault="00310392">
      <w:pPr>
        <w:pBdr>
          <w:top w:val="nil"/>
          <w:left w:val="nil"/>
          <w:bottom w:val="nil"/>
          <w:right w:val="nil"/>
          <w:between w:val="nil"/>
        </w:pBdr>
        <w:spacing w:after="0" w:line="240" w:lineRule="auto"/>
        <w:jc w:val="both"/>
        <w:rPr>
          <w:rFonts w:ascii="Arial" w:eastAsia="Arial" w:hAnsi="Arial" w:cs="Arial"/>
          <w:color w:val="FF0000"/>
          <w:sz w:val="24"/>
          <w:szCs w:val="24"/>
        </w:rPr>
      </w:pPr>
    </w:p>
    <w:p w:rsidR="00310392" w:rsidRDefault="00310392">
      <w:pPr>
        <w:pBdr>
          <w:top w:val="nil"/>
          <w:left w:val="nil"/>
          <w:bottom w:val="nil"/>
          <w:right w:val="nil"/>
          <w:between w:val="nil"/>
        </w:pBdr>
        <w:spacing w:after="0" w:line="240" w:lineRule="auto"/>
        <w:jc w:val="both"/>
        <w:rPr>
          <w:rFonts w:ascii="Arial" w:eastAsia="Arial" w:hAnsi="Arial" w:cs="Arial"/>
          <w:color w:val="9900FF"/>
          <w:sz w:val="24"/>
          <w:szCs w:val="24"/>
        </w:rPr>
      </w:pPr>
    </w:p>
    <w:p w:rsidR="00310392" w:rsidRDefault="00310392">
      <w:pPr>
        <w:pBdr>
          <w:top w:val="nil"/>
          <w:left w:val="nil"/>
          <w:bottom w:val="nil"/>
          <w:right w:val="nil"/>
          <w:between w:val="nil"/>
        </w:pBdr>
        <w:rPr>
          <w:rFonts w:ascii="Arial" w:eastAsia="Arial" w:hAnsi="Arial" w:cs="Arial"/>
          <w:color w:val="000000"/>
          <w:sz w:val="24"/>
          <w:szCs w:val="24"/>
        </w:rPr>
      </w:pPr>
    </w:p>
    <w:sectPr w:rsidR="00310392">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CD" w:rsidRDefault="00523CCD">
      <w:pPr>
        <w:spacing w:after="0" w:line="240" w:lineRule="auto"/>
      </w:pPr>
      <w:r>
        <w:separator/>
      </w:r>
    </w:p>
  </w:endnote>
  <w:endnote w:type="continuationSeparator" w:id="0">
    <w:p w:rsidR="00523CCD" w:rsidRDefault="0052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92" w:rsidRDefault="003103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CD" w:rsidRDefault="00523CCD">
      <w:pPr>
        <w:spacing w:after="0" w:line="240" w:lineRule="auto"/>
      </w:pPr>
      <w:r>
        <w:separator/>
      </w:r>
    </w:p>
  </w:footnote>
  <w:footnote w:type="continuationSeparator" w:id="0">
    <w:p w:rsidR="00523CCD" w:rsidRDefault="0052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92" w:rsidRDefault="00523CCD">
    <w:pPr>
      <w:jc w:val="right"/>
    </w:pPr>
    <w:r>
      <w:fldChar w:fldCharType="begin"/>
    </w:r>
    <w:r>
      <w:instrText>PAGE</w:instrText>
    </w:r>
    <w:r w:rsidR="003312FE">
      <w:fldChar w:fldCharType="separate"/>
    </w:r>
    <w:r w:rsidR="00A72330">
      <w:rPr>
        <w:noProof/>
      </w:rPr>
      <w:t>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10392"/>
    <w:rsid w:val="00310392"/>
    <w:rsid w:val="003312FE"/>
    <w:rsid w:val="00523CCD"/>
    <w:rsid w:val="00A723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D529B9"/>
    <w:pPr>
      <w:keepNext/>
      <w:keepLines/>
      <w:spacing w:before="480" w:after="120"/>
      <w:outlineLvl w:val="0"/>
    </w:pPr>
    <w:rPr>
      <w:b/>
      <w:sz w:val="48"/>
      <w:szCs w:val="48"/>
    </w:rPr>
  </w:style>
  <w:style w:type="paragraph" w:styleId="Ttulo2">
    <w:name w:val="heading 2"/>
    <w:basedOn w:val="Normal1"/>
    <w:next w:val="Normal1"/>
    <w:rsid w:val="00D529B9"/>
    <w:pPr>
      <w:keepNext/>
      <w:keepLines/>
      <w:spacing w:before="360" w:after="80"/>
      <w:outlineLvl w:val="1"/>
    </w:pPr>
    <w:rPr>
      <w:b/>
      <w:sz w:val="36"/>
      <w:szCs w:val="36"/>
    </w:rPr>
  </w:style>
  <w:style w:type="paragraph" w:styleId="Ttulo3">
    <w:name w:val="heading 3"/>
    <w:basedOn w:val="Normal1"/>
    <w:next w:val="Normal1"/>
    <w:rsid w:val="00D529B9"/>
    <w:pPr>
      <w:keepNext/>
      <w:keepLines/>
      <w:spacing w:before="280" w:after="80"/>
      <w:outlineLvl w:val="2"/>
    </w:pPr>
    <w:rPr>
      <w:b/>
      <w:sz w:val="28"/>
      <w:szCs w:val="28"/>
    </w:rPr>
  </w:style>
  <w:style w:type="paragraph" w:styleId="Ttulo4">
    <w:name w:val="heading 4"/>
    <w:basedOn w:val="Normal1"/>
    <w:next w:val="Normal1"/>
    <w:rsid w:val="00D529B9"/>
    <w:pPr>
      <w:keepNext/>
      <w:keepLines/>
      <w:spacing w:before="240" w:after="40"/>
      <w:outlineLvl w:val="3"/>
    </w:pPr>
    <w:rPr>
      <w:b/>
      <w:sz w:val="24"/>
      <w:szCs w:val="24"/>
    </w:rPr>
  </w:style>
  <w:style w:type="paragraph" w:styleId="Ttulo5">
    <w:name w:val="heading 5"/>
    <w:basedOn w:val="Normal1"/>
    <w:next w:val="Normal1"/>
    <w:rsid w:val="00D529B9"/>
    <w:pPr>
      <w:keepNext/>
      <w:keepLines/>
      <w:spacing w:before="220" w:after="40"/>
      <w:outlineLvl w:val="4"/>
    </w:pPr>
    <w:rPr>
      <w:b/>
    </w:rPr>
  </w:style>
  <w:style w:type="paragraph" w:styleId="Ttulo6">
    <w:name w:val="heading 6"/>
    <w:basedOn w:val="Normal1"/>
    <w:next w:val="Normal1"/>
    <w:rsid w:val="00D529B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D529B9"/>
    <w:pPr>
      <w:keepNext/>
      <w:keepLines/>
      <w:spacing w:before="480" w:after="120"/>
    </w:pPr>
    <w:rPr>
      <w:b/>
      <w:sz w:val="72"/>
      <w:szCs w:val="72"/>
    </w:rPr>
  </w:style>
  <w:style w:type="paragraph" w:customStyle="1" w:styleId="Normal1">
    <w:name w:val="Normal1"/>
    <w:rsid w:val="00D529B9"/>
  </w:style>
  <w:style w:type="table" w:customStyle="1" w:styleId="TableNormal0">
    <w:name w:val="Table Normal"/>
    <w:rsid w:val="00D529B9"/>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D529B9"/>
    <w:tblPr>
      <w:tblStyleRowBandSize w:val="1"/>
      <w:tblStyleColBandSize w:val="1"/>
      <w:tblCellMar>
        <w:left w:w="70" w:type="dxa"/>
        <w:right w:w="70" w:type="dxa"/>
      </w:tblCellMar>
    </w:tblPr>
  </w:style>
  <w:style w:type="table" w:customStyle="1" w:styleId="a0">
    <w:basedOn w:val="TableNormal0"/>
    <w:rsid w:val="00D529B9"/>
    <w:tblPr>
      <w:tblStyleRowBandSize w:val="1"/>
      <w:tblStyleColBandSize w:val="1"/>
      <w:tblCellMar>
        <w:left w:w="70" w:type="dxa"/>
        <w:right w:w="70" w:type="dxa"/>
      </w:tblCellMar>
    </w:tblPr>
  </w:style>
  <w:style w:type="table" w:customStyle="1" w:styleId="a1">
    <w:basedOn w:val="TableNormal0"/>
    <w:rsid w:val="00D529B9"/>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D529B9"/>
    <w:pPr>
      <w:keepNext/>
      <w:keepLines/>
      <w:spacing w:before="480" w:after="120"/>
      <w:outlineLvl w:val="0"/>
    </w:pPr>
    <w:rPr>
      <w:b/>
      <w:sz w:val="48"/>
      <w:szCs w:val="48"/>
    </w:rPr>
  </w:style>
  <w:style w:type="paragraph" w:styleId="Ttulo2">
    <w:name w:val="heading 2"/>
    <w:basedOn w:val="Normal1"/>
    <w:next w:val="Normal1"/>
    <w:rsid w:val="00D529B9"/>
    <w:pPr>
      <w:keepNext/>
      <w:keepLines/>
      <w:spacing w:before="360" w:after="80"/>
      <w:outlineLvl w:val="1"/>
    </w:pPr>
    <w:rPr>
      <w:b/>
      <w:sz w:val="36"/>
      <w:szCs w:val="36"/>
    </w:rPr>
  </w:style>
  <w:style w:type="paragraph" w:styleId="Ttulo3">
    <w:name w:val="heading 3"/>
    <w:basedOn w:val="Normal1"/>
    <w:next w:val="Normal1"/>
    <w:rsid w:val="00D529B9"/>
    <w:pPr>
      <w:keepNext/>
      <w:keepLines/>
      <w:spacing w:before="280" w:after="80"/>
      <w:outlineLvl w:val="2"/>
    </w:pPr>
    <w:rPr>
      <w:b/>
      <w:sz w:val="28"/>
      <w:szCs w:val="28"/>
    </w:rPr>
  </w:style>
  <w:style w:type="paragraph" w:styleId="Ttulo4">
    <w:name w:val="heading 4"/>
    <w:basedOn w:val="Normal1"/>
    <w:next w:val="Normal1"/>
    <w:rsid w:val="00D529B9"/>
    <w:pPr>
      <w:keepNext/>
      <w:keepLines/>
      <w:spacing w:before="240" w:after="40"/>
      <w:outlineLvl w:val="3"/>
    </w:pPr>
    <w:rPr>
      <w:b/>
      <w:sz w:val="24"/>
      <w:szCs w:val="24"/>
    </w:rPr>
  </w:style>
  <w:style w:type="paragraph" w:styleId="Ttulo5">
    <w:name w:val="heading 5"/>
    <w:basedOn w:val="Normal1"/>
    <w:next w:val="Normal1"/>
    <w:rsid w:val="00D529B9"/>
    <w:pPr>
      <w:keepNext/>
      <w:keepLines/>
      <w:spacing w:before="220" w:after="40"/>
      <w:outlineLvl w:val="4"/>
    </w:pPr>
    <w:rPr>
      <w:b/>
    </w:rPr>
  </w:style>
  <w:style w:type="paragraph" w:styleId="Ttulo6">
    <w:name w:val="heading 6"/>
    <w:basedOn w:val="Normal1"/>
    <w:next w:val="Normal1"/>
    <w:rsid w:val="00D529B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D529B9"/>
    <w:pPr>
      <w:keepNext/>
      <w:keepLines/>
      <w:spacing w:before="480" w:after="120"/>
    </w:pPr>
    <w:rPr>
      <w:b/>
      <w:sz w:val="72"/>
      <w:szCs w:val="72"/>
    </w:rPr>
  </w:style>
  <w:style w:type="paragraph" w:customStyle="1" w:styleId="Normal1">
    <w:name w:val="Normal1"/>
    <w:rsid w:val="00D529B9"/>
  </w:style>
  <w:style w:type="table" w:customStyle="1" w:styleId="TableNormal0">
    <w:name w:val="Table Normal"/>
    <w:rsid w:val="00D529B9"/>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D529B9"/>
    <w:tblPr>
      <w:tblStyleRowBandSize w:val="1"/>
      <w:tblStyleColBandSize w:val="1"/>
      <w:tblCellMar>
        <w:left w:w="70" w:type="dxa"/>
        <w:right w:w="70" w:type="dxa"/>
      </w:tblCellMar>
    </w:tblPr>
  </w:style>
  <w:style w:type="table" w:customStyle="1" w:styleId="a0">
    <w:basedOn w:val="TableNormal0"/>
    <w:rsid w:val="00D529B9"/>
    <w:tblPr>
      <w:tblStyleRowBandSize w:val="1"/>
      <w:tblStyleColBandSize w:val="1"/>
      <w:tblCellMar>
        <w:left w:w="70" w:type="dxa"/>
        <w:right w:w="70" w:type="dxa"/>
      </w:tblCellMar>
    </w:tblPr>
  </w:style>
  <w:style w:type="table" w:customStyle="1" w:styleId="a1">
    <w:basedOn w:val="TableNormal0"/>
    <w:rsid w:val="00D529B9"/>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hcF3Ljx8gK/d+EqyZF7halCb5A==">AMUW2mWOj4UnQgPdn/YCkQ8EmyZCZgonDo7Uj84bfkbuAjVeohWJaB/e2hlnn7TK0F1tfGUFsPtDVYfCwJktbHAT0f6wwSOnlqcEn2AQyPyLPQrTSbMtYkvpN1kSk9zGZAKb0Roq6S6JMJfjpLMvyeIWxAFXDOPmOP6nciGu1CTkD1hDosiWj3c=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4494</Words>
  <Characters>24721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Aguirre</dc:creator>
  <cp:lastModifiedBy>No Informado</cp:lastModifiedBy>
  <cp:revision>3</cp:revision>
  <dcterms:created xsi:type="dcterms:W3CDTF">2020-08-14T15:56:00Z</dcterms:created>
  <dcterms:modified xsi:type="dcterms:W3CDTF">2020-08-14T15:56:00Z</dcterms:modified>
</cp:coreProperties>
</file>